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spacing w:before="79" w:lineRule="auto"/>
        <w:ind w:left="-566.9291338582675" w:right="-267.4015748031485" w:firstLine="425.1968503937007"/>
        <w:jc w:val="center"/>
        <w:rPr/>
      </w:pPr>
      <w:r w:rsidDel="00000000" w:rsidR="00000000" w:rsidRPr="00000000">
        <w:rPr>
          <w:rtl w:val="0"/>
        </w:rPr>
        <w:t xml:space="preserve">Сравнение системы оценки высшего образования Китая и Казахстана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0" w:line="280" w:lineRule="auto"/>
        <w:ind w:left="-566.9291338582675" w:right="-267.4015748031485" w:firstLine="425.1968503937007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Лю Лиюэ, Қажығали Сымбат  «Международные отношения» Казахского национального университета им. аль-Фараби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spacing w:before="1" w:lineRule="auto"/>
        <w:ind w:left="-566.9291338582675" w:right="-267.4015748031485" w:firstLine="425.1968503937007"/>
        <w:rPr/>
      </w:pPr>
      <w:r w:rsidDel="00000000" w:rsidR="00000000" w:rsidRPr="00000000">
        <w:rPr>
          <w:rtl w:val="0"/>
        </w:rPr>
        <w:t xml:space="preserve">Аннотация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оценки качества высшего образования является важным инструментом для измерения уровня образования, эффективности преподавания и его влияния на общество. Китай и Казахстан, будучи ключевыми партнерами в рамках инициативы «Один пояс, один путь», имеют как сходства, так и значительные различия в системах оценки качества высшего образования. В данной статье сначала рассматриваются основные характеристики систем высшего образования двух стран, затем проводится сравнительный анализ их систем оценки качества по ключевым показателям, методам оценки, политическим ориентирам и эффективности реализации. Далее, с помощью анализа конкретных примеров, исследуется влияние различных систем оценки на развитие университетов, а также их преимущества и недостатки. В завершение статьи предлагаются рекомендации по оптимизации систем оценки качества высшего образования Китая и Казахстана, что будет способствовать их совершенствованию и углублению образовательного сотрудничества между двумя странами.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высшее образование; система оценки качества; Китай; Казахстан; образовательная политика.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1"/>
        <w:pageBreakBefore w:val="0"/>
        <w:spacing w:after="0" w:line="276" w:lineRule="auto"/>
        <w:ind w:left="-566.9291338582675" w:right="-267.4015748031485" w:firstLine="425.1968503937007"/>
        <w:rPr/>
      </w:pPr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  <w:sectPr>
          <w:pgSz w:h="16840" w:w="11910" w:orient="portrait"/>
          <w:pgMar w:bottom="280" w:top="1360" w:left="1700" w:right="170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развитием глобализации и экономики знаний роль высшего образования в повышении конкурентоспособности стран и социальном прогрессе становится все более значимой. Правительства разных стран уделяют большое внимание повышению качества высшего образования и создают соответствующие системы его оценки. Китай, являясь второй крупнейшей экономикой мира, в последние годы активно продвигает улучшение качества высшего образования через такие инициативы, как проект «Двойная первоклассность» (Double First-Class Initiative) и аудит бакалаврского образования. В то же время Казахстан, в рамках Болонского процесса, оценивает качество высшего образования с помощью независимого агентства по обеспечению качества (IQAA) и национальной системы аккредитации (Atameken)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keepNext w:val="1"/>
        <w:pageBreakBefore w:val="0"/>
        <w:spacing w:after="0" w:before="79" w:line="276" w:lineRule="auto"/>
        <w:ind w:left="-566.9291338582675" w:right="-267.4015748031485" w:firstLine="425.1968503937007"/>
        <w:jc w:val="both"/>
        <w:rPr/>
      </w:pPr>
      <w:r w:rsidDel="00000000" w:rsidR="00000000" w:rsidRPr="00000000">
        <w:rPr>
          <w:rtl w:val="0"/>
        </w:rPr>
        <w:t xml:space="preserve">Цель и методы исследования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исследование направлено на сравнение систем оценки качества высшего образования Китая и Казахстана, выявление их сходств и различий, анализ преимуществ и недостатков каждой системы, а также поиск возможных путей их оптимизации. В исследовании применяются методы анализа литературы, сравнительного исследования и кейс-анализа, с акцентом на системы показателей оценки, методы оценки и направления образовательной политики двух стран.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1"/>
        <w:pageBreakBefore w:val="0"/>
        <w:numPr>
          <w:ilvl w:val="0"/>
          <w:numId w:val="3"/>
        </w:numPr>
        <w:tabs>
          <w:tab w:val="left" w:leader="none" w:pos="280"/>
        </w:tabs>
        <w:spacing w:after="0" w:before="0" w:line="276" w:lineRule="auto"/>
        <w:ind w:left="-566.9291338582675" w:right="-267.4015748031485" w:firstLine="425.1968503937007"/>
        <w:jc w:val="both"/>
        <w:rPr/>
      </w:pPr>
      <w:r w:rsidDel="00000000" w:rsidR="00000000" w:rsidRPr="00000000">
        <w:rPr>
          <w:rtl w:val="0"/>
        </w:rPr>
        <w:t xml:space="preserve">Сравнение систем высшего образования Китая и Казахстана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высшего образования Китая включает бакалавриат, магистратуру, докторантуру, а также профессиональное образование. Университеты подразделяются на вузы, участвующие в проекте «Двойная первоклассность» (Double First-Class Initiative), обычные бакалаврские университеты и колледжи профессионального образования. Для обеспечения и повышения качества высшего образования в Китае создана разветвленная система оценки, включающая аудит бакалаврского образования, проводимый Министерством образования, национальную оценку дисциплин, осуществляемую Центром развития образования и ученых степеней Китая (CDGDC), а также систему научной оценки на основе научных исследований. Кроме того, рейтинговые системы университетов (такие как рейтинг Alumni Association, QS World University Rankings и другие) в определенной степени влияют на развитие вузов. Все эти механизмы составляют основу управления качеством высшего образования в Китае.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1700" w:right="170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Казахстан с 1997 года провел глубокие реформы системы высшего образования, постепенно адаптируясь к европейской модели, внедрил трехуровневую систему обучения (бакалавриат, магистратура, докторантура) и официально присоединился к Болонскому процессу. Оценка качества высшего образования в Казахстане основана на нескольких механизмах, включая аккредитацию вузов Независимым агентством по обеспечению качества образования Казахстана (IQAA), национальную систему аккредитации Atameken, которая оценивает уровень трудоустройства выпускников, академические исследования и сотрудничество вузов с бизнесом. Кроме того, международные рейтинговые системы (такие как QS World University Rankings, Times Higher Education Rankings) также оказывают значительное влияние на конкурентоспособность казахстанских университетов и их стратегию развития. Эти меры способствуют повышению качества высшего образования в Казахстане и его интеграции в международное образовательное пространство.</w:t>
      </w:r>
    </w:p>
    <w:p w:rsidR="00000000" w:rsidDel="00000000" w:rsidP="00000000" w:rsidRDefault="00000000" w:rsidRPr="00000000" w14:paraId="00000015">
      <w:pPr>
        <w:pStyle w:val="Heading2"/>
        <w:keepNext w:val="1"/>
        <w:pageBreakBefore w:val="0"/>
        <w:numPr>
          <w:ilvl w:val="0"/>
          <w:numId w:val="3"/>
        </w:numPr>
        <w:tabs>
          <w:tab w:val="left" w:leader="none" w:pos="440"/>
        </w:tabs>
        <w:spacing w:after="0" w:before="79" w:line="276" w:lineRule="auto"/>
        <w:ind w:left="-566.9291338582675" w:right="-267.4015748031485" w:firstLine="425.1968503937007"/>
        <w:jc w:val="left"/>
        <w:rPr/>
      </w:pPr>
      <w:r w:rsidDel="00000000" w:rsidR="00000000" w:rsidRPr="00000000">
        <w:rPr>
          <w:rtl w:val="0"/>
        </w:rPr>
        <w:t xml:space="preserve">Сравнение систем оценки качества высшего образования Китая и Казахстана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Сравнение систем показателей оценки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оценки качества высшего образования Китая и Казахстана имеют значительные различия в нескольких аспектах.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Во-первых, в оценке качества преподавания Китай ориентируется на такие показатели, как структура учебных программ, вовлеченность преподавателей и уровень удовлетворенности студентов. В то время как Казахстан уделяет больше внимания соответствию содержания обучения международным стандартам, стремясь привести учебные программы в соответствие с требованиями Болонского процесса.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Во-вторых, при оценке научных достижений Китай делает акцент на публикации в ведущих международных научных базах данных (SCI, EI) и количество полученных патентов. Казахстан, напротив, больше фокусируется на прикладных исследованиях и сотрудничестве университетов с промышленностью, стремясь способствовать экономическому и социальному развитию.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В-третьих, при оценке трудоустройства выпускников Китай рассматривает этот показатель как важный критерий качества образования, однако механизмы его оценки пока не достаточно развиты, а использование данных ограничено. В Казахстане действует национальная система аккредитации Atameken, которая тщательно отслеживает и анализирует показатели занятости выпускников, что позволяет оценивать соответствие образовательных программ требованиям рынка труда.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В-четвертых, по уровню интернационализации Китайская система оценки ориентируется на такие факторы, как доля иностранных студентов, международные образовательные проекты и зарубежные кампусы университетов. Казахстан, в свою очередь, испытывает сильное влияние Болонского процесса, поэтому международная аккредитация является важнейшим элементом оценки качества высшего образования, а университеты активно поощряются к получению признания от зарубежных образовательных агентств.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1700" w:right="170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Наконец, в оценке общественного влияния китайские университеты оцениваются по таким параметрам, как вклад в социальные услуги, экспертная поддержка государственной политики и коммерциализация научных разработок. В Казахстане же особое внимание уделяется вкладу вузов в развитие региональной экономики, особенно в аспектах сотрудничества с местными органами власти и бизнесом.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79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Сравнение методов оценки и организаций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методах оценки систем качества высшего образования Китай и Казахстан демонстрируют значительные различия.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Китае система оценки качества высшего образования в основном находится под государственным контролем. Министерство образования организует аудит преподавательской деятельности в вузах, что придает системе выраженный административный характер. Кроме того, в Китае существуют независимые организации, такие как Центр развития образования и ученых степеней (CDGDC) и Центр научной оценки, которые оценивают уровень академических дисциплин и результаты научных исследований вузов. Важную роль в оценке китайских университетов также играют международные рейтинги, такие как QS World University Rankings, Times Higher Education Rankings (THE) и U.S. News Rankings.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Казахстане система оценки качества высшего образования также находится под руководством Министерства образования и науки, однако независимые агентства играют в ней более важную роль. Например, Независимое агентство по обеспечению качества образования Казахстана (IQAA) отвечает за аккредитацию и оценку университетов, а национальная система аккредитации Atameken специализируется на оценке уровня трудоустройства выпускников. В сравнении с Китаем казахстанская система оценки более зависима от международных рейтингов, и вузы активно ориентируются на показатели QS и THE для определения своего уровня развития.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касается источников данных, китайская система оценки в основном опирается на самооценку вузов, экспертные заключения и государственную статистику. Результаты оценки обычно используются для планирования развития вузов, корректировки образовательной политики и реализации программы «Двойная первоклассность». В Казахстане, напротив, более активно применяется сочетание открытых данных, обратной связи от работодателей и государственных проверок, что обеспечивает объективность оценки и ориентацию на потребности рынка труда. Эти различия формируют уникальные особенности и направления развития систем оценки качества высшего образования в двух странах.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1"/>
        <w:pageBreakBefore w:val="0"/>
        <w:numPr>
          <w:ilvl w:val="0"/>
          <w:numId w:val="3"/>
        </w:numPr>
        <w:tabs>
          <w:tab w:val="left" w:leader="none" w:pos="280"/>
        </w:tabs>
        <w:spacing w:after="0" w:before="0" w:line="276" w:lineRule="auto"/>
        <w:ind w:left="-566.9291338582675" w:right="-267.4015748031485" w:firstLine="425.1968503937007"/>
        <w:jc w:val="both"/>
        <w:rPr/>
      </w:pPr>
      <w:r w:rsidDel="00000000" w:rsidR="00000000" w:rsidRPr="00000000">
        <w:rPr>
          <w:rtl w:val="0"/>
        </w:rPr>
        <w:t xml:space="preserve">Рекомендации по оптимизации системы оценки качества высшего образования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1700" w:right="170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системы оценки качества высшего образования Китая и Казахстана сталкиваются с такими проблемами, как узкий набор оценочных показателей, устаревшие методы оценки, недостаточное использование информационных технологий и низкий уровень общественного участия. Для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повышения научной обоснованности, объективности и эффективности оценки необходимо провести оптимизацию в четырех ключевых направлениях.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Во-первых, следует разработать многомерную систему оценочных показателей, обеспечивающую баланс между оценкой научных исследований и преподавательской деятельности, а также учитывающую вклад университетов в развитие студентов, общество, инновации и международное сотрудничество. В Китае система оценки чрезмерно ориентирована на научные достижения, в то время как качество преподавания и социальная роль вузов остаются в тени. В Казахстане, несмотря на приверженность международным стандартам, отсутствуют механизмы оценки специфики вузов. Для повышения комплексности и точности оценки необходимо включить такие показатели, как качество учебных программ, инвестиции в преподавательский состав, уровень трудоустройства выпускников, академическое развитие, коммерциализация научных разработок и международное сотрудничество.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Во-вторых, следует внедрять инновационные методы оценки и развивать системы динамического мониторинга. В настоящее время оценка качества высшего образования основана на периодических проверках и отчетности вузов, что приводит к запаздыванию обратной связи и снижению адаптации к требованиям рынка. В перспективе необходимо создать систему динамической оценки, основанную на больших данных и искусственном интеллекте, которая объединит государственную экспертизу, внутреннюю самооценку вузов, отраслевую оценку и общественный контроль. Это позволит оптимизировать процессы оценки, сократить их циклы, повысить прозрачность и доверие к результатам.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Кроме того, необходимо активнее использовать информационные технологии для повышения эффективности оценки. Создание национальной платформы данных о качестве высшего образования позволит обеспечить обмен информацией и интеллектуальный анализ данных. Искусственный интеллект можно применять для прогнозирования тенденций развития вузов, технологии блокчейн — для обеспечения достоверности данных, а онлайн-системы оценки преподавания — для объективного измерения качества обучения и успеваемости студентов.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1700" w:right="170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Наконец, следует повысить участие различных заинтересованных сторон и укрепить общественное доверие к системе оценки. В настоящее время оценка высшего образования в основном контролируется государством, а низкий уровень участия общества приводит к ограниченному учету потребностей рынка. Для решения этой проблемы необходимо усилить роль работодателей, отраслевых экспертов и студентов в оценочных процессах, привлекать независимые  организации  к  проведению  аудита,  а  также  развива</w:t>
      </w:r>
      <w:r w:rsidDel="00000000" w:rsidR="00000000" w:rsidRPr="00000000">
        <w:rPr>
          <w:sz w:val="24"/>
          <w:szCs w:val="24"/>
          <w:rtl w:val="0"/>
        </w:rPr>
        <w:t xml:space="preserve">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сотрудничество вузов с обществом. Открытость данных об оценке и организация образовательных форумов помогут сделать систему более прозрачной и ориентированной на потребности общества.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1"/>
        <w:pageBreakBefore w:val="0"/>
        <w:spacing w:after="0" w:line="276" w:lineRule="auto"/>
        <w:ind w:left="-566.9291338582675" w:right="-267.4015748031485" w:firstLine="425.1968503937007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оценки качества высшего образования Китая и Казахстана имеют свои особенности: Китай делает упор на государственное руководство и научные исследования, тогда как Казахстан ориентируется на международные стандарты и рыночные требования. В то же время обе страны сталкиваются с проблемами, такими как ограниченность критериев оценки, задержка обратной связи и недостаточное применение технологий.</w:t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оптимизации системы оценки в статье предложены меры: разработка многомерных критериев, внедрение инновационных методов оценки, активное использование цифровых технологий и расширение общественного участия. В будущем Китаю и Казахстану следует укреплять сотрудничество, заимствовать передовой опыт и совершенствовать механизмы оценки, способствуя высококачественному развитию высшего образования.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-267.4015748031485" w:firstLine="425.19685039370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ind w:left="-566.9291338582675" w:right="-267.4015748031485" w:firstLine="425.1968503937007"/>
        <w:rPr/>
      </w:pPr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"/>
        </w:tabs>
        <w:spacing w:after="0" w:before="0" w:line="232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李立国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  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黄海军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.(2021).   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中国高等教育质量评估体系的演进逻辑与改革路径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[J].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高等教育研究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,42(3),45-53.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0"/>
          <w:numId w:val="2"/>
        </w:numPr>
        <w:tabs>
          <w:tab w:val="left" w:leader="none" w:pos="151"/>
        </w:tabs>
        <w:spacing w:after="0" w:before="0" w:line="261" w:lineRule="auto"/>
        <w:ind w:left="-566.9291338582675" w:right="-267.4015748031485" w:firstLine="425.1968503937007"/>
        <w:jc w:val="left"/>
        <w:rPr/>
      </w:pPr>
      <w:r w:rsidDel="00000000" w:rsidR="00000000" w:rsidRPr="00000000">
        <w:rPr>
          <w:rtl w:val="0"/>
        </w:rPr>
        <w:t xml:space="preserve">Altbach,P.G.,&amp;deWit,H.(2020).Qualityassuranceinhighereducation:The                         globalcontextandtheRussiancase.HigherEducationinRussiaandBeyond,24(3),                                    6-8.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"/>
        </w:tabs>
        <w:spacing w:after="0" w:before="0" w:line="261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Каракулова,Ж.А.(2022).Болонскийпроцессисистемагарантиикачества                     высшегообразованиявКазахстане.ВестникКазНУ,65(2),89-97.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"/>
        </w:tabs>
        <w:spacing w:after="0" w:before="0" w:line="316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周海涛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刘永林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.(2020)."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双一流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建设背景下高校学科评估的困境与突破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[J].</w:t>
      </w:r>
    </w:p>
    <w:p w:rsidR="00000000" w:rsidDel="00000000" w:rsidP="00000000" w:rsidRDefault="00000000" w:rsidRPr="00000000" w14:paraId="00000058">
      <w:pPr>
        <w:spacing w:before="0" w:line="316" w:lineRule="auto"/>
        <w:ind w:left="-566.9291338582675" w:right="-267.4015748031485" w:firstLine="425.1968503937007"/>
        <w:jc w:val="left"/>
        <w:rPr>
          <w:i w:val="1"/>
          <w:sz w:val="25"/>
          <w:szCs w:val="25"/>
        </w:rPr>
      </w:pPr>
      <w:r w:rsidDel="00000000" w:rsidR="00000000" w:rsidRPr="00000000">
        <w:rPr>
          <w:rFonts w:ascii="SimSun" w:cs="SimSun" w:eastAsia="SimSun" w:hAnsi="SimSun"/>
          <w:sz w:val="25"/>
          <w:szCs w:val="25"/>
          <w:rtl w:val="0"/>
        </w:rPr>
        <w:t xml:space="preserve">中国高教研究</w:t>
      </w:r>
      <w:r w:rsidDel="00000000" w:rsidR="00000000" w:rsidRPr="00000000">
        <w:rPr>
          <w:i w:val="1"/>
          <w:sz w:val="25"/>
          <w:szCs w:val="25"/>
          <w:rtl w:val="0"/>
        </w:rPr>
        <w:t xml:space="preserve">,(8),32-38.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spacing w:line="261" w:lineRule="auto"/>
        <w:ind w:left="-566.9291338582675" w:right="-267.4015748031485" w:firstLine="425.1968503937007"/>
        <w:rPr/>
      </w:pPr>
      <w:r w:rsidDel="00000000" w:rsidR="00000000" w:rsidRPr="00000000">
        <w:rPr>
          <w:rtl w:val="0"/>
        </w:rPr>
        <w:t xml:space="preserve">4.Aitzhanova,A.,&amp;Kenzhebekov,R.(2021).QualityassuranceinKazakhstani                        highereducation:TheroleofIQAA.EuropeanJournalofHigherEducation,11(4),                                   421-436.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"/>
        </w:tabs>
        <w:spacing w:after="0" w:before="0" w:line="232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1700" w:right="1700" w:header="360" w:footer="360"/>
        </w:sect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王战军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.(2022).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新时代研究生教育质量评价体系构建研究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[J].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学位与研 究生教育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,(5),1-8.</w:t>
      </w:r>
    </w:p>
    <w:p w:rsidR="00000000" w:rsidDel="00000000" w:rsidP="00000000" w:rsidRDefault="00000000" w:rsidRPr="00000000" w14:paraId="0000005D">
      <w:pPr>
        <w:pStyle w:val="Heading1"/>
        <w:numPr>
          <w:ilvl w:val="0"/>
          <w:numId w:val="1"/>
        </w:numPr>
        <w:tabs>
          <w:tab w:val="left" w:leader="none" w:pos="151"/>
        </w:tabs>
        <w:spacing w:after="0" w:before="69" w:line="261" w:lineRule="auto"/>
        <w:ind w:left="-566.9291338582675" w:right="-267.4015748031485" w:firstLine="425.1968503937007"/>
        <w:jc w:val="left"/>
        <w:rPr/>
      </w:pPr>
      <w:r w:rsidDel="00000000" w:rsidR="00000000" w:rsidRPr="00000000">
        <w:rPr>
          <w:rtl w:val="0"/>
        </w:rPr>
        <w:t xml:space="preserve">Sagintayeva,A.,&amp;Kurakbayev,K.(2020).BolognaProcessandqualityassurance                            inKazakhstan:Policyimplementationchallenges.InternationalJournalof                                  EducationalDevelopment,72,102140.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"/>
        </w:tabs>
        <w:spacing w:after="0" w:before="0" w:line="246.99999999999994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别敦荣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.(2021).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高等教育普及化阶段质量评价的转型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[J].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大学教育科学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(3),67-74.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"/>
        </w:tabs>
        <w:spacing w:after="0" w:before="0" w:line="261" w:lineRule="auto"/>
        <w:ind w:left="-566.9291338582675" w:right="-267.4015748031485" w:firstLine="425.196850393700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Dzhaparova,A.,&amp;Kalanova,S.(2023).Digitaltransformationofquality                          assessmentinCentralAsianuniversities.JournalofHigherEducationPolicyand                                Management,45(2),178-193.</w:t>
      </w:r>
    </w:p>
    <w:sectPr>
      <w:type w:val="nextPage"/>
      <w:pgSz w:h="16840" w:w="11910" w:orient="portrait"/>
      <w:pgMar w:bottom="280" w:top="1360" w:left="1700" w:right="17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3" w:hanging="291"/>
      </w:pPr>
      <w:rPr>
        <w:rFonts w:ascii="Times New Roman" w:cs="Times New Roman" w:eastAsia="Times New Roman" w:hAnsi="Times New Roman"/>
        <w:b w:val="0"/>
        <w:i w:val="1"/>
        <w:sz w:val="25"/>
        <w:szCs w:val="25"/>
      </w:rPr>
    </w:lvl>
    <w:lvl w:ilvl="1">
      <w:start w:val="0"/>
      <w:numFmt w:val="bullet"/>
      <w:lvlText w:val="•"/>
      <w:lvlJc w:val="left"/>
      <w:pPr>
        <w:ind w:left="922" w:hanging="291"/>
      </w:pPr>
      <w:rPr/>
    </w:lvl>
    <w:lvl w:ilvl="2">
      <w:start w:val="0"/>
      <w:numFmt w:val="bullet"/>
      <w:lvlText w:val="•"/>
      <w:lvlJc w:val="left"/>
      <w:pPr>
        <w:ind w:left="1765" w:hanging="291"/>
      </w:pPr>
      <w:rPr/>
    </w:lvl>
    <w:lvl w:ilvl="3">
      <w:start w:val="0"/>
      <w:numFmt w:val="bullet"/>
      <w:lvlText w:val="•"/>
      <w:lvlJc w:val="left"/>
      <w:pPr>
        <w:ind w:left="2607" w:hanging="291"/>
      </w:pPr>
      <w:rPr/>
    </w:lvl>
    <w:lvl w:ilvl="4">
      <w:start w:val="0"/>
      <w:numFmt w:val="bullet"/>
      <w:lvlText w:val="•"/>
      <w:lvlJc w:val="left"/>
      <w:pPr>
        <w:ind w:left="3450" w:hanging="291"/>
      </w:pPr>
      <w:rPr/>
    </w:lvl>
    <w:lvl w:ilvl="5">
      <w:start w:val="0"/>
      <w:numFmt w:val="bullet"/>
      <w:lvlText w:val="•"/>
      <w:lvlJc w:val="left"/>
      <w:pPr>
        <w:ind w:left="4293" w:hanging="291"/>
      </w:pPr>
      <w:rPr/>
    </w:lvl>
    <w:lvl w:ilvl="6">
      <w:start w:val="0"/>
      <w:numFmt w:val="bullet"/>
      <w:lvlText w:val="•"/>
      <w:lvlJc w:val="left"/>
      <w:pPr>
        <w:ind w:left="5135" w:hanging="291"/>
      </w:pPr>
      <w:rPr/>
    </w:lvl>
    <w:lvl w:ilvl="7">
      <w:start w:val="0"/>
      <w:numFmt w:val="bullet"/>
      <w:lvlText w:val="•"/>
      <w:lvlJc w:val="left"/>
      <w:pPr>
        <w:ind w:left="5978" w:hanging="291.0000000000009"/>
      </w:pPr>
      <w:rPr/>
    </w:lvl>
    <w:lvl w:ilvl="8">
      <w:start w:val="0"/>
      <w:numFmt w:val="bullet"/>
      <w:lvlText w:val="•"/>
      <w:lvlJc w:val="left"/>
      <w:pPr>
        <w:ind w:left="6820" w:hanging="2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3" w:hanging="291"/>
      </w:pPr>
      <w:rPr>
        <w:rFonts w:ascii="Times New Roman" w:cs="Times New Roman" w:eastAsia="Times New Roman" w:hAnsi="Times New Roman"/>
        <w:b w:val="0"/>
        <w:i w:val="1"/>
        <w:sz w:val="25"/>
        <w:szCs w:val="25"/>
      </w:rPr>
    </w:lvl>
    <w:lvl w:ilvl="1">
      <w:start w:val="0"/>
      <w:numFmt w:val="bullet"/>
      <w:lvlText w:val="•"/>
      <w:lvlJc w:val="left"/>
      <w:pPr>
        <w:ind w:left="922" w:hanging="291"/>
      </w:pPr>
      <w:rPr/>
    </w:lvl>
    <w:lvl w:ilvl="2">
      <w:start w:val="0"/>
      <w:numFmt w:val="bullet"/>
      <w:lvlText w:val="•"/>
      <w:lvlJc w:val="left"/>
      <w:pPr>
        <w:ind w:left="1765" w:hanging="291"/>
      </w:pPr>
      <w:rPr/>
    </w:lvl>
    <w:lvl w:ilvl="3">
      <w:start w:val="0"/>
      <w:numFmt w:val="bullet"/>
      <w:lvlText w:val="•"/>
      <w:lvlJc w:val="left"/>
      <w:pPr>
        <w:ind w:left="2607" w:hanging="291"/>
      </w:pPr>
      <w:rPr/>
    </w:lvl>
    <w:lvl w:ilvl="4">
      <w:start w:val="0"/>
      <w:numFmt w:val="bullet"/>
      <w:lvlText w:val="•"/>
      <w:lvlJc w:val="left"/>
      <w:pPr>
        <w:ind w:left="3450" w:hanging="291"/>
      </w:pPr>
      <w:rPr/>
    </w:lvl>
    <w:lvl w:ilvl="5">
      <w:start w:val="0"/>
      <w:numFmt w:val="bullet"/>
      <w:lvlText w:val="•"/>
      <w:lvlJc w:val="left"/>
      <w:pPr>
        <w:ind w:left="4293" w:hanging="291"/>
      </w:pPr>
      <w:rPr/>
    </w:lvl>
    <w:lvl w:ilvl="6">
      <w:start w:val="0"/>
      <w:numFmt w:val="bullet"/>
      <w:lvlText w:val="•"/>
      <w:lvlJc w:val="left"/>
      <w:pPr>
        <w:ind w:left="5135" w:hanging="291"/>
      </w:pPr>
      <w:rPr/>
    </w:lvl>
    <w:lvl w:ilvl="7">
      <w:start w:val="0"/>
      <w:numFmt w:val="bullet"/>
      <w:lvlText w:val="•"/>
      <w:lvlJc w:val="left"/>
      <w:pPr>
        <w:ind w:left="5978" w:hanging="291.0000000000009"/>
      </w:pPr>
      <w:rPr/>
    </w:lvl>
    <w:lvl w:ilvl="8">
      <w:start w:val="0"/>
      <w:numFmt w:val="bullet"/>
      <w:lvlText w:val="•"/>
      <w:lvlJc w:val="left"/>
      <w:pPr>
        <w:ind w:left="6820" w:hanging="29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81" w:hanging="181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354" w:hanging="360"/>
      </w:pPr>
      <w:rPr/>
    </w:lvl>
    <w:lvl w:ilvl="3">
      <w:start w:val="0"/>
      <w:numFmt w:val="bullet"/>
      <w:lvlText w:val="•"/>
      <w:lvlJc w:val="left"/>
      <w:pPr>
        <w:ind w:left="2248" w:hanging="360"/>
      </w:pPr>
      <w:rPr/>
    </w:lvl>
    <w:lvl w:ilvl="4">
      <w:start w:val="0"/>
      <w:numFmt w:val="bullet"/>
      <w:lvlText w:val="•"/>
      <w:lvlJc w:val="left"/>
      <w:pPr>
        <w:ind w:left="3142" w:hanging="360"/>
      </w:pPr>
      <w:rPr/>
    </w:lvl>
    <w:lvl w:ilvl="5">
      <w:start w:val="0"/>
      <w:numFmt w:val="bullet"/>
      <w:lvlText w:val="•"/>
      <w:lvlJc w:val="left"/>
      <w:pPr>
        <w:ind w:left="4036" w:hanging="360"/>
      </w:pPr>
      <w:rPr/>
    </w:lvl>
    <w:lvl w:ilvl="6">
      <w:start w:val="0"/>
      <w:numFmt w:val="bullet"/>
      <w:lvlText w:val="•"/>
      <w:lvlJc w:val="left"/>
      <w:pPr>
        <w:ind w:left="4930" w:hanging="360"/>
      </w:pPr>
      <w:rPr/>
    </w:lvl>
    <w:lvl w:ilvl="7">
      <w:start w:val="0"/>
      <w:numFmt w:val="bullet"/>
      <w:lvlText w:val="•"/>
      <w:lvlJc w:val="left"/>
      <w:pPr>
        <w:ind w:left="5824" w:hanging="360"/>
      </w:pPr>
      <w:rPr/>
    </w:lvl>
    <w:lvl w:ilvl="8">
      <w:start w:val="0"/>
      <w:numFmt w:val="bullet"/>
      <w:lvlText w:val="•"/>
      <w:lvlJc w:val="left"/>
      <w:pPr>
        <w:ind w:left="671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" w:right="97"/>
    </w:pPr>
    <w:rPr>
      <w:rFonts w:ascii="Times New Roman" w:cs="Times New Roman" w:eastAsia="Times New Roman" w:hAnsi="Times New Roman"/>
      <w:i w:val="1"/>
      <w:sz w:val="25"/>
      <w:szCs w:val="25"/>
    </w:rPr>
  </w:style>
  <w:style w:type="paragraph" w:styleId="Heading2">
    <w:name w:val="heading 2"/>
    <w:basedOn w:val="Normal"/>
    <w:next w:val="Normal"/>
    <w:pPr>
      <w:ind w:left="10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83" w:right="97"/>
      <w:outlineLvl w:val="1"/>
    </w:pPr>
    <w:rPr>
      <w:rFonts w:ascii="Times New Roman" w:cs="Times New Roman" w:eastAsia="Times New Roman" w:hAnsi="Times New Roman"/>
      <w:i w:val="1"/>
      <w:iCs w:val="1"/>
      <w:sz w:val="25"/>
      <w:szCs w:val="25"/>
      <w:lang w:bidi="ar-SA" w:eastAsia="en-US" w:val="ru-RU"/>
    </w:rPr>
  </w:style>
  <w:style w:type="paragraph" w:styleId="Heading2">
    <w:name w:val="Heading 2"/>
    <w:basedOn w:val="Normal"/>
    <w:uiPriority w:val="1"/>
    <w:qFormat w:val="1"/>
    <w:pPr>
      <w:ind w:left="100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83"/>
    </w:pPr>
    <w:rPr>
      <w:rFonts w:ascii="Times New Roman" w:cs="Times New Roman" w:eastAsia="Times New Roman" w:hAnsi="Times New Roman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5YPyMQW0DCaJg+WL/hAeXU/3w==">CgMxLjA4AHIhMWdMcW95dC04ZFlyM0xOZVRkaVJoWUZtbFB0VEltLURI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2025-04-01T18:03:37Z</dcterms:created>
  <dc:creator>刘丽月.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2025-04-01T00:00:00Z</vt:filetime>
  </property>
  <property fmtid="{D5CDD505-2E9C-101B-9397-08002B2CF9AE}" pid="5" name="Producer">
    <vt:lpwstr>macOS 版本14.5（版号23F79） Quartz PDFContext</vt:lpwstr>
  </property>
  <property fmtid="{D5CDD505-2E9C-101B-9397-08002B2CF9AE}" pid="6" name="SourceModified">
    <vt:lpwstr>D:20250401161613+05'00'</vt:lpwstr>
  </property>
</Properties>
</file>