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1BE5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t>ОБРАЗОВАНИЕ КАК  ИНСТРУМЕНТ СОЦИАЛЬНОЙ ПОЛИТИКИ В КИТАЕ</w:t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br w:type="textWrapping"/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t xml:space="preserve">                         </w:t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br w:type="textWrapping"/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br w:type="textWrapping"/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br w:type="textWrapping"/>
      </w:r>
      <w:r>
        <w:rPr>
          <w:rFonts w:hint="default" w:cs="Times New Roman"/>
          <w:b/>
          <w:bCs/>
          <w:i w:val="0"/>
          <w:iCs w:val="0"/>
          <w:color w:val="auto"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Низамов Алишер Нуритдинович</w:t>
      </w:r>
    </w:p>
    <w:p w14:paraId="7CFB493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sz w:val="28"/>
          <w:szCs w:val="28"/>
          <w:lang w:val="ru-RU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КазНУ им. Аль-Фараби, факультет Востоковедения</w:t>
      </w:r>
    </w:p>
    <w:p w14:paraId="285D4701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Востоковедение, магистратура 1 курс</w:t>
      </w:r>
    </w:p>
    <w:p w14:paraId="11CAAFD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/>
          <w:bCs/>
          <w:sz w:val="28"/>
          <w:szCs w:val="28"/>
        </w:rPr>
        <w:t>Аннотация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 данной статье анализируется роль системы образования в Китае как инструмента социальной политики. Рассматриваются ключевые реформы, направленные на обеспечение социальной мобильности и снижение уровня неравенства. Особое внимание уделяется образовательным реформам последних десятилетий, влиянию системы Гаокао на доступ к высшему образованию, а также мерам, направленным на улучшение условий обучения в сельских районах. </w:t>
      </w:r>
    </w:p>
    <w:p w14:paraId="428FF78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8"/>
          <w:rFonts w:hint="default"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: образование, Китай, социальная политика,  реформы, Гаокао</w:t>
      </w:r>
      <w:r>
        <w:rPr>
          <w:rFonts w:hint="default" w:cs="Times New Roman"/>
          <w:b w:val="0"/>
          <w:bCs w:val="0"/>
          <w:sz w:val="28"/>
          <w:szCs w:val="28"/>
          <w:lang w:val="ru-RU"/>
        </w:rPr>
        <w:t>.</w:t>
      </w:r>
    </w:p>
    <w:p w14:paraId="1F989D8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45CE697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Образование является важнейшим инструментом социальной политики во многих странах, и Китай не является исключением. В течение последних десятилетий реформы в сфере образования в Китае активно способствовали расширению возможностей для социальной мобильности и сокращению уровня неравенства. В данной статье рассматриваются основные этапы образовательных реформ, их влияние на общество и существующие вызовы.</w:t>
      </w:r>
    </w:p>
    <w:p w14:paraId="32F51BD9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 Китае образование рассматривается как стратегический ресурс для национального развития. Государственная политика направлена на расширение образовательных возможностей, снижение разрыва между городскими и сельскими районами и повышение доступности качественного образования для всех слоев населения. Одним из главных инструментов социальной политики в Китае стало введение обязательного девятилетнего образования, что способствовало увеличению уровня грамотности и базового образования в стране.</w:t>
      </w:r>
    </w:p>
    <w:p w14:paraId="02E759E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 1986 года в Китае введено девятилетнее обязательное образование, что стало важным шагом в устранении неграмотности и обеспечении базового образования для всех слоев населения. Это значительно повысило уровень грамотности и дало возможность миллионам детей, особенно из сельских районов, получить базовые знания.</w:t>
      </w:r>
    </w:p>
    <w:p w14:paraId="25C86A0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Гаокао (национальный экзамен для поступления в высшие учебные заведения) играет ключевую роль в системе социальной мобильности Китая. Однако из-за различий в качестве образования между регионами доступ к престижным университетам остается неравномерным. В последние годы государство проводит реформы, направленные на повышение справедливости экзаменационной системы и поддержку студентов из малообеспеченных семей.</w:t>
      </w:r>
    </w:p>
    <w:p w14:paraId="1A71236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Китайские университеты значительно расширили свои программы, а также внедрили международные стандарты в образовательный процесс. Политика «Проект 211» и «Проект 985» способствовали росту качества образования и привлечению инвестиций в ведущие вузы страны.</w:t>
      </w:r>
    </w:p>
    <w:p w14:paraId="17438135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Одна из ключевых проблем китайской системы образования – дисбаланс между городскими и сельскими регионами. В последние годы государство активно инвестирует в строительство школ, улучшение условий обучения и поддержку учителей в сельских районах, чтобы снизить этот разрыв.</w:t>
      </w:r>
    </w:p>
    <w:p w14:paraId="43A954A8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Образовательные реформы в Китае способствовали значительному увеличению социальной мобильности. Улучшение доступа к образованию позволило представителям низших слоев общества получить больше возможностей для карьерного роста и повышения качества жизни. Однако остаются вызовы, связанные с региональным неравенством, финансовыми барьерами для малообеспеченных семей и конкурентной системой Гаокао, создающей стрессовую нагрузку на студентов.</w:t>
      </w:r>
    </w:p>
    <w:p w14:paraId="75051223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Несмотря на достигнутые успехи, образовательная система Китая продолжает сталкиваться с рядом вызовов:</w:t>
      </w:r>
    </w:p>
    <w:p w14:paraId="0C20291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t>Региональный дисбаланс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несмотря на государственные программы поддержки, сельские регионы все еще отстают от городских в плане качества образования.</w:t>
      </w:r>
    </w:p>
    <w:p w14:paraId="517E083C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t>Высокая стоимость образования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расходы на репетиторство и подготовительные курсы создают барьеры для семей с низким доходом.</w:t>
      </w:r>
    </w:p>
    <w:p w14:paraId="101657B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t>Конкурентная среда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– система Гаокао остается стрессовой и требует пересмотра в сторону более гибкого подхода к оценке знаний.</w:t>
      </w:r>
    </w:p>
    <w:p w14:paraId="2EBC40D0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Образовательные реформы в Китае сыграли значительную роль в повышении социальной мобильности и сокращении неравенства. Однако остаются нерешенные проблемы, требующие дальнейших преобразований. Государственная политика продолжает развиваться в сторону справедливого и инклюзивного образования, что может способствовать дальнейшему снижению социального разрыва и улучшению качества жизни населения.</w:t>
      </w:r>
    </w:p>
    <w:p w14:paraId="2CC485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 w14:paraId="32FC498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br w:type="textWrapping"/>
      </w:r>
      <w:bookmarkStart w:id="0" w:name="_GoBack"/>
      <w:bookmarkEnd w:id="0"/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r>
        <w:rPr>
          <w:rStyle w:val="8"/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:</w:t>
      </w:r>
    </w:p>
    <w:p w14:paraId="7E9509B6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0"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Bray, M., &amp; Lykins, C. (2012).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Shadow Education: Private Supplementary Tutoring and Its Implications for Policy Makers in Asia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Asian Development Bank.</w:t>
      </w:r>
    </w:p>
    <w:p w14:paraId="113791D7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0"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Hannum, E., &amp; Park, A. (2007).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Education and Reform in China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Routledge.</w:t>
      </w:r>
    </w:p>
    <w:p w14:paraId="685E0D5B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0"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Li, H., Loyalka, P., Rozelle, S., &amp; Wu, B. (2017).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Human Capital and China's Future Growth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Stanford University Press.</w:t>
      </w:r>
    </w:p>
    <w:p w14:paraId="597CCD3E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0"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Tsang, M. C. (2000).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Education and National Development in China since 1949: Oscillating Policies and Enduring Dilemmas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China Review.</w:t>
      </w:r>
    </w:p>
    <w:p w14:paraId="4BC086AD"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720" w:firstLine="709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Zhang, W., &amp; Luo, R. (2013). </w:t>
      </w:r>
      <w:r>
        <w:rPr>
          <w:rStyle w:val="6"/>
          <w:rFonts w:hint="default" w:ascii="Times New Roman" w:hAnsi="Times New Roman" w:cs="Times New Roman"/>
          <w:b w:val="0"/>
          <w:bCs w:val="0"/>
          <w:sz w:val="28"/>
          <w:szCs w:val="28"/>
        </w:rPr>
        <w:t>Educational Inequality and Socioeconomic Mobility in China: Trends and Mechanisms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. Social Sciences in China.</w:t>
      </w:r>
    </w:p>
    <w:p w14:paraId="028568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firstLine="709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sectPr>
      <w:headerReference r:id="rId5" w:type="default"/>
      <w:footerReference r:id="rId6" w:type="default"/>
      <w:pgSz w:w="11905" w:h="16840"/>
      <w:pgMar w:top="1134" w:right="850" w:bottom="1134" w:left="1701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910C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29BEF">
    <w:pPr>
      <w:pStyle w:val="9"/>
      <w:spacing w:after="0" w:line="240" w:lineRule="auto"/>
      <w:ind w:left="0" w:firstLine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9501A"/>
    <w:rsid w:val="1379501A"/>
    <w:rsid w:val="195168E6"/>
    <w:rsid w:val="19DD5889"/>
    <w:rsid w:val="2FE64530"/>
    <w:rsid w:val="37D45637"/>
    <w:rsid w:val="411D36A7"/>
    <w:rsid w:val="45A45DD4"/>
    <w:rsid w:val="46D0597A"/>
    <w:rsid w:val="50A3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" w:line="276" w:lineRule="auto"/>
      <w:ind w:left="10" w:hanging="10"/>
    </w:pPr>
    <w:rPr>
      <w:rFonts w:ascii="Times New Roman" w:hAnsi="Times New Roman" w:eastAsia="Times New Roman" w:cs="Times New Roman"/>
      <w:color w:val="000000"/>
      <w:kern w:val="2"/>
      <w:sz w:val="26"/>
      <w:szCs w:val="24"/>
      <w:lang w:val="ru-RU" w:eastAsia="ja-JP" w:bidi="ar-SA"/>
      <w14:ligatures w14:val="standardContextual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basedOn w:val="4"/>
    <w:uiPriority w:val="0"/>
    <w:rPr>
      <w:color w:val="0000FF"/>
      <w:u w:val="single"/>
    </w:rPr>
  </w:style>
  <w:style w:type="character" w:styleId="8">
    <w:name w:val="Strong"/>
    <w:basedOn w:val="4"/>
    <w:qFormat/>
    <w:uiPriority w:val="0"/>
    <w:rPr>
      <w:b/>
      <w:bCs/>
    </w:rPr>
  </w:style>
  <w:style w:type="paragraph" w:styleId="9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1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2025-03-15T09:05:00Z</dcterms:created>
  <dc:creator>Алишер Низамов</dc:creator>
  <cp:lastModifiedBy>Алишер Низамов</cp:lastModifiedBy>
  <dcterms:modified xsi:type="dcterms:W3CDTF">2025-03-31T14:41:32Z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E7A1B12EC9E848C683774CA97EC64880_13</vt:lpwstr>
  </property>
</Properties>
</file>