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40"/>
          <w:szCs w:val="40"/>
          <w:lang w:val="en-US"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40"/>
          <w:szCs w:val="40"/>
          <w:lang w:val="en-US"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val="kk-KZ"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506"/>
        <w:gridCol w:w="3856"/>
        <w:gridCol w:w="1363"/>
        <w:gridCol w:w="2493"/>
      </w:tblGrid>
      <w:tr>
        <w:trPr>
          <w:trHeight w:val="473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/>
              </w:rPr>
              <w:t>Long-term plan section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  <w:t xml:space="preserve">: </w:t>
            </w:r>
            <w:bookmarkStart w:id="0" w:name="_Hlk50578501"/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Unit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bookmarkEnd w:id="0"/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Organic and non-organic world</w:t>
            </w:r>
          </w:p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/>
              </w:rPr>
              <w:t>College: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  <w:t>Almaty Multidisciplinary College</w:t>
            </w:r>
          </w:p>
        </w:tc>
      </w:tr>
      <w:tr>
        <w:tblPrEx/>
        <w:trPr>
          <w:trHeight w:val="412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Группа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/>
              </w:rPr>
              <w:t>IS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</w:rPr>
              <w:t>-113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1805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Number of attendees: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13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Number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of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absent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:</w:t>
            </w:r>
          </w:p>
        </w:tc>
      </w:tr>
      <w:tr>
        <w:tblPrEx/>
        <w:trPr>
          <w:trHeight w:val="245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/>
              </w:rPr>
              <w:t xml:space="preserve">rganic 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/>
              </w:rPr>
              <w:t xml:space="preserve"> and non-organic worlds"</w:t>
            </w:r>
          </w:p>
        </w:tc>
      </w:tr>
      <w:tr>
        <w:tblPrEx/>
        <w:trPr>
          <w:trHeight w:val="1712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Learning objectives achieved in this lesson</w:t>
            </w:r>
          </w:p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left" w:leader="none" w:pos="6461"/>
              </w:tabs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 xml:space="preserve">10.2.2 - understand specific information in unsupported extended talk on a wide range of general and curricular topics, including talk on a limited range of unfamiliar topics; </w:t>
            </w:r>
          </w:p>
          <w:p>
            <w:pPr>
              <w:pStyle w:val="style0"/>
              <w:widowControl w:val="false"/>
              <w:tabs>
                <w:tab w:val="left" w:leader="none" w:pos="6461"/>
              </w:tabs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10.3.3 - explain and justify own and others’ point of view on a wide range of general and curricular topics;</w:t>
            </w:r>
          </w:p>
          <w:p>
            <w:pPr>
              <w:pStyle w:val="style0"/>
              <w:widowControl w:val="false"/>
              <w:tabs>
                <w:tab w:val="left" w:leader="none" w:pos="6461"/>
              </w:tabs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10.4.1 - understand main points in  extended texts on a wide range of familiar and some unfamiliar general and curricular topics;</w:t>
            </w:r>
          </w:p>
        </w:tc>
      </w:tr>
      <w:tr>
        <w:tblPrEx/>
        <w:trPr>
          <w:trHeight w:val="603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GB" w:eastAsia="en-GB"/>
              </w:rPr>
              <w:t xml:space="preserve">Lesson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GB" w:eastAsia="en-GB"/>
              </w:rPr>
              <w:t>objectives</w:t>
            </w:r>
          </w:p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  <w:t>Learners will be able to: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  <w:t>•listen for specific information and elicit new vocabulary words related to food production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  <w:t>•define the words related to  organic and non-organic food production;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  <w:t>•discuss and justify their attitude to healthy food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  <w:t>•determine the benefits and harm of organic/ non-organic products on our health  from the text</w:t>
            </w:r>
          </w:p>
        </w:tc>
      </w:tr>
      <w:tr>
        <w:tblPrEx/>
        <w:trPr>
          <w:trHeight w:val="603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Evaluation criteria</w:t>
            </w:r>
          </w:p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 xml:space="preserve">1) </w:t>
            </w: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>listen for specific information and elicit  new vocabulary words related to food production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 xml:space="preserve">2) </w:t>
            </w: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>classify the words related to  organic and non-organic food production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 xml:space="preserve">3) </w:t>
            </w: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>speak about and express their point of view on the healthy food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 xml:space="preserve">4) </w:t>
            </w:r>
            <w:r>
              <w:rPr>
                <w:rFonts w:ascii="Times New Roman" w:cs="Times New Roman" w:eastAsia="Calibri" w:hAnsi="Times New Roman"/>
                <w:iCs/>
                <w:sz w:val="24"/>
                <w:szCs w:val="24"/>
                <w:lang w:val="en-US" w:eastAsia="en-GB"/>
              </w:rPr>
              <w:t>define the impact of organic / non organic food production on our life from the text</w:t>
            </w:r>
          </w:p>
        </w:tc>
      </w:tr>
      <w:tr>
        <w:tblPrEx/>
        <w:trPr>
          <w:trHeight w:val="131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Interdisciplinary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connections</w:t>
            </w:r>
          </w:p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Biology, Chemistry</w:t>
            </w:r>
          </w:p>
        </w:tc>
      </w:tr>
      <w:tr>
        <w:tblPrEx/>
        <w:trPr>
          <w:trHeight w:val="416" w:hRule="atLeast"/>
        </w:trPr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 xml:space="preserve">ICT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skills</w:t>
            </w:r>
          </w:p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eastAsia="en-GB"/>
              </w:rPr>
              <w:t xml:space="preserve">Smart board for presenting a classwork </w:t>
            </w:r>
          </w:p>
        </w:tc>
      </w:tr>
      <w:tr>
        <w:tblPrEx/>
        <w:trPr/>
        <w:tc>
          <w:tcPr>
            <w:tcW w:w="1390" w:type="pct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Prior knowledge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</w:pPr>
          </w:p>
          <w:bookmarkStart w:id="1" w:name="_GoBack"/>
          <w:bookmarkEnd w:id="1"/>
        </w:tc>
        <w:tc>
          <w:tcPr>
            <w:tcW w:w="361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 xml:space="preserve"> Virtual Reality.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 xml:space="preserve"> Progress check</w:t>
            </w:r>
          </w:p>
        </w:tc>
      </w:tr>
      <w:tr>
        <w:tblPrEx/>
        <w:trPr>
          <w:trHeight w:val="274" w:hRule="atLeast"/>
        </w:trPr>
        <w:tc>
          <w:tcPr>
            <w:tcW w:w="5000" w:type="pct"/>
            <w:gridSpan w:val="5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  <w:br w:type="page"/>
            </w: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/>
              </w:rPr>
              <w:t>During the lesson</w:t>
            </w:r>
          </w:p>
        </w:tc>
      </w:tr>
      <w:tr>
        <w:tblPrEx/>
        <w:trPr>
          <w:trHeight w:val="528" w:hRule="atLeast"/>
        </w:trPr>
        <w:tc>
          <w:tcPr>
            <w:tcW w:w="1153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Planned stages of the lesson</w:t>
            </w:r>
          </w:p>
        </w:tc>
        <w:tc>
          <w:tcPr>
            <w:tcW w:w="268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Planned lesson activities</w:t>
            </w:r>
          </w:p>
        </w:tc>
        <w:tc>
          <w:tcPr>
            <w:tcW w:w="1167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Resources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</w:tc>
      </w:tr>
      <w:tr>
        <w:tblPrEx/>
        <w:trPr>
          <w:trHeight w:val="395" w:hRule="atLeast"/>
        </w:trPr>
        <w:tc>
          <w:tcPr>
            <w:tcW w:w="1153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Lesson start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 xml:space="preserve">10 minutes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68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The lesson greeting. To check attendance. The teacher sets the lesson objectives, let students know what to anticipate from the lesson.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Worming up: What Kind of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food do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 you like? Do you like vegetables? Fruit? Meat? Elicit their answers.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>Method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“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>Prediction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”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 Suggest to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predict the theme of the lesson from the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proverb:”You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 are what you eat..” E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licit their answers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 xml:space="preserve">Descriptor: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A learner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•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tells the theme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 xml:space="preserve">Method: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>“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>Cluster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>”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  Collect words related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to “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>Food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 “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Suggested Answer Key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FRUIT: apples, pears, bananas, melon, grapes,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oranges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, lemons, etc.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VEGETABLES: potatoes, carrots, broccoli, tomatoes, lettuce, cucumbers, etc.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MEAT: beef, lamb, pork, chicken, etc.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DAIRY PRODUCTS: milk, cheese, yoghurt, butter, cream, etc.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  <w:t xml:space="preserve">Descriptor: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A learner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•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val="en-US" w:eastAsia="en-GB"/>
              </w:rPr>
              <w:t>tells related words</w:t>
            </w:r>
          </w:p>
        </w:tc>
        <w:tc>
          <w:tcPr>
            <w:tcW w:w="1167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699" w:hRule="atLeast"/>
        </w:trPr>
        <w:tc>
          <w:tcPr>
            <w:tcW w:w="1153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eastAsia="en-GB"/>
              </w:rPr>
              <w:t>Lesson</w:t>
            </w: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eastAsia="en-GB"/>
              </w:rPr>
              <w:t>start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  <w:t xml:space="preserve"> 25 minutes</w:t>
            </w:r>
          </w:p>
        </w:tc>
        <w:tc>
          <w:tcPr>
            <w:tcW w:w="2680" w:type="pct"/>
            <w:gridSpan w:val="3"/>
            <w:tcBorders/>
            <w:shd w:val="clear" w:color="auto" w:fill="auto"/>
          </w:tcPr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</w:pP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Method. Pre-listening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Ex1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,p50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Present vocabulary related with organic and non –organic food production through pictures.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Play the video and elicit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Ss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comments.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Descriptor: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A learner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: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pronounces the words in chorus and individually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matches the words to the pictures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comments the picture and express an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oppinion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Ex2,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50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Method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 Pair work.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Match the columns to make sentences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according to sample: </w:t>
            </w:r>
            <w:r>
              <w:rPr>
                <w:rFonts w:ascii="Times New Roman" w:cs="Times New Roman" w:eastAsia="Calibri" w:hAnsi="Times New Roman"/>
                <w:i/>
                <w:sz w:val="24"/>
                <w:szCs w:val="24"/>
                <w:lang w:val="en-US" w:eastAsia="ru-RU"/>
              </w:rPr>
              <w:t>In organic food production……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Descriptor: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A learner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: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• Reads the structures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• Matches the structures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*Less able students mat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h the columns;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more able students match the colum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ns and make sentences according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to sample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ex.2,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p.50 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Method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Pre-reading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Read the title and the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headings.What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is the text about?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L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isten and read to find out.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ead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ing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for specific information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.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Ask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Ss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to read statements 1-6. Then give them time to read the text again and mark them according to what they read.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Descriptor: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A learner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: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• Reads and listens to the text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• Elicits the facts on the organic food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• Tells the class what the text says :The text is about the benefits of eating organic food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Method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Group Work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’’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-True (T) or False (F)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Read the text again and mark the sentences (T) or (F) or DS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(doesn’t say)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Students discuss and classify organic and non-organic food production in two-column graphic organizer.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>Descriptor: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A learner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*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 Discusses the topic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*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Uses the lesson-related words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*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Fills in the graphic organizer.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 xml:space="preserve">More able students 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*analyzes the data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  <w:t>*presents the information to the class</w:t>
            </w:r>
          </w:p>
          <w:p>
            <w:pPr>
              <w:pStyle w:val="style0"/>
              <w:widowControl w:val="false"/>
              <w:shd w:val="clear" w:color="auto" w:fill="ffffff"/>
              <w:spacing w:after="0"/>
              <w:jc w:val="both"/>
              <w:contextualSpacing/>
              <w:rPr>
                <w:rFonts w:ascii="Times New Roman" w:cs="Times New Roman" w:eastAsia="Calibri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Video-audiophiles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“Action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” 10 grade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vocabulary work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 xml:space="preserve"> exercises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 xml:space="preserve">Illustrative materials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lang w:val="en-US" w:eastAsia="en-GB"/>
              </w:rPr>
              <w:t>https://www.youtube.com/watch?v=Bm1EOwZyY80&amp;t=145s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  <w:t>Mobile Phone for translating works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>
        <w:tblPrEx/>
        <w:trPr>
          <w:trHeight w:val="607" w:hRule="atLeast"/>
        </w:trPr>
        <w:tc>
          <w:tcPr>
            <w:tcW w:w="1153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End of the lesson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5 minutes</w:t>
            </w:r>
          </w:p>
        </w:tc>
        <w:tc>
          <w:tcPr>
            <w:tcW w:w="268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Giving  homework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. SB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ex9, p51 (find information about GMO)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To prepare a poster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.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T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o look up information on the Internet or any other sources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Reflection – Questions.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 xml:space="preserve"> (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Ss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 xml:space="preserve"> fill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self assessment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list)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 Ask students: 1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)What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 have you learned today? 2)What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can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 you do now? Elicit answers: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e.g.I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 can talk about use organic and non-organic food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3)Which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 two things about non-organic food have the worst effect on our health?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4)Why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? (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more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 xml:space="preserve"> able students can summarize in one sentence).</w:t>
            </w:r>
          </w:p>
        </w:tc>
        <w:tc>
          <w:tcPr>
            <w:tcW w:w="1167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</w:p>
        </w:tc>
      </w:tr>
      <w:tr>
        <w:tblPrEx/>
        <w:trPr/>
        <w:tc>
          <w:tcPr>
            <w:tcW w:w="1153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Differentiation - how do you plan for more support? What tasks do you plan to set for more capable students?</w:t>
            </w:r>
          </w:p>
        </w:tc>
        <w:tc>
          <w:tcPr>
            <w:tcW w:w="268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Assessment - how do you plan to check the level of learning of the material by the students?</w:t>
            </w:r>
          </w:p>
        </w:tc>
        <w:tc>
          <w:tcPr>
            <w:tcW w:w="1167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Health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and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t>safety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br/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>
        <w:tblPrEx/>
        <w:trPr>
          <w:trHeight w:val="896" w:hRule="atLeast"/>
        </w:trPr>
        <w:tc>
          <w:tcPr>
            <w:tcW w:w="1153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Differentiation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  <w:t>By learning styles.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Visual learners are supported through posters on the Talking walls on the organic and non-organic food.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Kinesthetic learners better memorize the target vocabulary through working with the cards.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Auditory learners while reading the text on food follow the text in the listening format.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  <w:t xml:space="preserve">By support.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Less able learners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will be supported through step by-step modified instructions, sentence frames,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glossaries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, thinking time.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  <w:lang w:val="en-US" w:eastAsia="en-GB"/>
              </w:rPr>
              <w:t>By task: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Group Work: Students discuss and classify organic and non-organic food production in two-column graphic organizer.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Descriptors: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A learner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• Discusses the topic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• Uses the lesson-related words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• Fills in the graphic organizer.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More able students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*analyzes the data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*presents the information to the class</w:t>
            </w:r>
          </w:p>
        </w:tc>
        <w:tc>
          <w:tcPr>
            <w:tcW w:w="2680" w:type="pct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Observe learners when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participating in reading, listening,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speaking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, writing. Did each learner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involved into work? If not, why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not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? (e.g. didn’t understand what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to do; not so confident speaking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English; not interested in topic;</w:t>
            </w:r>
          </w:p>
        </w:tc>
        <w:tc>
          <w:tcPr>
            <w:tcW w:w="1167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Health promoting techniques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Breaks and physical activities used.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  <w:t>Open the window to refresh the air in the classroom during the break.</w:t>
            </w:r>
          </w:p>
        </w:tc>
      </w:tr>
      <w:tr>
        <w:tblPrEx/>
        <w:trPr>
          <w:trHeight w:val="570" w:hRule="atLeast"/>
        </w:trPr>
        <w:tc>
          <w:tcPr>
            <w:tcW w:w="1153" w:type="pc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Reflection on the lesson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Were the lesson / learning objectives realistic?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Have all students achieved the AC?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If not, why not?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Is the differentiation correct in the lesson?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Were the time stages of the lesson withstood?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What were the deviations from the lesson plan and why?</w:t>
            </w:r>
          </w:p>
        </w:tc>
        <w:tc>
          <w:tcPr>
            <w:tcW w:w="3847" w:type="pct"/>
            <w:gridSpan w:val="4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val="en-US" w:eastAsia="en-GB"/>
              </w:rPr>
            </w:pPr>
          </w:p>
        </w:tc>
      </w:tr>
      <w:tr>
        <w:tblPrEx/>
        <w:trPr>
          <w:trHeight w:val="569" w:hRule="atLeast"/>
        </w:trPr>
        <w:tc>
          <w:tcPr>
            <w:tcW w:w="5000" w:type="pct"/>
            <w:gridSpan w:val="5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 w:eastAsia="en-GB"/>
              </w:rPr>
              <w:t>Overall score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What two aspects of the lesson went well (think both teaching and learning)?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1: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2: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What could improve the lesson (think both teaching and learning)?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1: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2: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cs="Times New Roman" w:eastAsia="Calibri" w:hAnsi="Times New Roman"/>
                <w:bCs/>
                <w:sz w:val="24"/>
                <w:szCs w:val="24"/>
                <w:lang w:val="en-US" w:eastAsia="en-GB"/>
              </w:rPr>
              <w:t>What did I find during the lesson about the class or the achievements / difficulties of individual students, what needs to be paid attention to in subsequent lessons?</w:t>
            </w:r>
          </w:p>
        </w:tc>
      </w:tr>
    </w:tbl>
    <w:p>
      <w:pPr>
        <w:pStyle w:val="style0"/>
        <w:tabs>
          <w:tab w:val="left" w:leader="none" w:pos="27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kk-KZ" w:eastAsia="ru-RU"/>
        </w:rPr>
      </w:pPr>
    </w:p>
    <w:p>
      <w:pPr>
        <w:pStyle w:val="style0"/>
        <w:tabs>
          <w:tab w:val="left" w:leader="none" w:pos="27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kk-KZ" w:eastAsia="ru-RU"/>
        </w:rPr>
      </w:pPr>
    </w:p>
    <w:p>
      <w:pPr>
        <w:pStyle w:val="style0"/>
        <w:tabs>
          <w:tab w:val="left" w:leader="none" w:pos="27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kk-KZ" w:eastAsia="ru-RU"/>
        </w:rPr>
      </w:pPr>
    </w:p>
    <w:sectPr>
      <w:footerReference w:type="default" r:id="rId2"/>
      <w:pgSz w:w="11906" w:h="16838" w:orient="portrait"/>
      <w:pgMar w:top="720" w:right="720" w:bottom="720" w:left="720" w:header="720" w:footer="13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lang w:val="kk-KZ"/>
      </w:rPr>
      <w:t>Форма</w:t>
    </w:r>
    <w:r>
      <w:t xml:space="preserve"> </w:t>
    </w:r>
    <w:r>
      <w:t>04.1-02/6</w:t>
    </w:r>
    <w:r>
      <w:t>.</w:t>
    </w:r>
    <w:r>
      <w:rPr>
        <w:lang w:val="kk-KZ"/>
      </w:rPr>
      <w:t xml:space="preserve"> Издание</w:t>
    </w:r>
    <w:r>
      <w:t xml:space="preserve"> 2                                   </w:t>
    </w:r>
  </w:p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C6A9752"/>
    <w:lvl w:ilvl="0" w:tplc="7030444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66882AE"/>
    <w:lvl w:ilvl="0" w:tplc="7030444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F1CF7B4"/>
    <w:lvl w:ilvl="0" w:tplc="7030444A">
      <w:start w:val="1"/>
      <w:numFmt w:val="bullet"/>
      <w:lvlText w:val="•"/>
      <w:lvlJc w:val="left"/>
      <w:pPr>
        <w:ind w:left="904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654FDBC"/>
    <w:lvl w:ilvl="0" w:tplc="7030444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964FF94"/>
    <w:lvl w:ilvl="0" w:tplc="7030444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BC8F6D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B6C4C1E"/>
    <w:lvl w:ilvl="0" w:tplc="17C2B006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4F2D780"/>
    <w:lvl w:ilvl="0" w:tplc="CC182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ru-RU"/>
    </w:rPr>
  </w:style>
  <w:style w:type="character" w:customStyle="1" w:styleId="style4097">
    <w:name w:val="Нижний колонтитул Знак"/>
    <w:basedOn w:val="style65"/>
    <w:next w:val="style4097"/>
    <w:link w:val="style32"/>
    <w:uiPriority w:val="99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1007</Words>
  <Pages>4</Pages>
  <Characters>5508</Characters>
  <Application>WPS Office</Application>
  <DocSecurity>0</DocSecurity>
  <Paragraphs>242</Paragraphs>
  <ScaleCrop>false</ScaleCrop>
  <LinksUpToDate>false</LinksUpToDate>
  <CharactersWithSpaces>6458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2022-02-07T12:31:00Z</dcterms:created>
  <dc:creator>Пользователь Windows</dc:creator>
  <lastModifiedBy>M2006C3MG</lastModifiedBy>
  <lastPrinted>2021-12-06T14:36:00Z</lastPrinted>
  <dcterms:modified xsi:type="dcterms:W3CDTF">2022-02-07T15:41:47Z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