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FC4" w:rsidRDefault="00E135EB" w:rsidP="009B4FC4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Румянцева Оксана Александровна</w:t>
      </w:r>
    </w:p>
    <w:p w:rsidR="009B4FC4" w:rsidRDefault="001D4F5E" w:rsidP="009B4FC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МИР И </w:t>
      </w:r>
      <w:bookmarkStart w:id="0" w:name="_GoBack"/>
      <w:bookmarkEnd w:id="0"/>
      <w:r w:rsidR="009B4FC4">
        <w:rPr>
          <w:rFonts w:ascii="Times New Roman" w:hAnsi="Times New Roman" w:cs="Times New Roman"/>
        </w:rPr>
        <w:t>КРАСОТА ВОКРУГ НАС…</w:t>
      </w:r>
    </w:p>
    <w:p w:rsidR="009B4FC4" w:rsidRDefault="009B4FC4" w:rsidP="009B4FC4">
      <w:pPr>
        <w:spacing w:after="0"/>
        <w:jc w:val="both"/>
        <w:rPr>
          <w:rFonts w:ascii="Times New Roman" w:hAnsi="Times New Roman" w:cs="Times New Roman"/>
        </w:rPr>
      </w:pPr>
    </w:p>
    <w:p w:rsidR="009B4FC4" w:rsidRPr="007D0F3D" w:rsidRDefault="009B4FC4" w:rsidP="009B4FC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E135EB">
        <w:rPr>
          <w:rFonts w:ascii="Times New Roman" w:hAnsi="Times New Roman" w:cs="Times New Roman"/>
        </w:rPr>
        <w:tab/>
      </w:r>
      <w:r w:rsidRPr="00422257">
        <w:rPr>
          <w:rFonts w:ascii="Times New Roman" w:hAnsi="Times New Roman" w:cs="Times New Roman"/>
        </w:rPr>
        <w:t>Симметрия является одной из наиболее фун</w:t>
      </w:r>
      <w:r>
        <w:rPr>
          <w:rFonts w:ascii="Times New Roman" w:hAnsi="Times New Roman" w:cs="Times New Roman"/>
        </w:rPr>
        <w:t xml:space="preserve">даментальных и </w:t>
      </w:r>
      <w:r w:rsidRPr="00422257">
        <w:rPr>
          <w:rFonts w:ascii="Times New Roman" w:hAnsi="Times New Roman" w:cs="Times New Roman"/>
        </w:rPr>
        <w:t xml:space="preserve"> общих закономерностей мироздания: неживой, живой природы и общества.  С симметрией мы встречаемся всюду.   Понятие симметрии проходит через всю многовековую историю человеческого творчества. </w:t>
      </w:r>
      <w:r w:rsidRPr="007D0F3D">
        <w:rPr>
          <w:rFonts w:ascii="Times New Roman" w:hAnsi="Times New Roman" w:cs="Times New Roman"/>
        </w:rPr>
        <w:t xml:space="preserve">Оно встречается уже у истоков человеческого знания; его широко используют все без исключения направления современной науки. Так же существует такое явление как асимметрия.  </w:t>
      </w:r>
    </w:p>
    <w:p w:rsidR="009B4FC4" w:rsidRDefault="009B4FC4" w:rsidP="009B4FC4">
      <w:pPr>
        <w:spacing w:after="0"/>
        <w:jc w:val="both"/>
        <w:rPr>
          <w:rFonts w:ascii="Times New Roman" w:hAnsi="Times New Roman" w:cs="Times New Roman"/>
        </w:rPr>
      </w:pPr>
      <w:r w:rsidRPr="006E2DB1">
        <w:rPr>
          <w:rFonts w:ascii="Times New Roman" w:hAnsi="Times New Roman" w:cs="Times New Roman"/>
        </w:rPr>
        <w:t xml:space="preserve">   </w:t>
      </w:r>
      <w:r w:rsidR="00E135EB">
        <w:rPr>
          <w:rFonts w:ascii="Times New Roman" w:hAnsi="Times New Roman" w:cs="Times New Roman"/>
        </w:rPr>
        <w:tab/>
      </w:r>
      <w:r w:rsidRPr="006E2DB1">
        <w:rPr>
          <w:rFonts w:ascii="Times New Roman" w:hAnsi="Times New Roman" w:cs="Times New Roman"/>
        </w:rPr>
        <w:t>Люди  редко задумываются о том, что  наш  мир  является  совокупностью  этих  двух понятий, а так же, что именно  симметрия  является  основой  гармонии.  Но в то же время, мы практически  не можем представить свою жизнь и  окружающий нас мир без асимметрии. Возникает вопрос, почему эти понятия практически неразделимы?  Симметрия –  это  абстракция  или  реальность? Для того</w:t>
      </w:r>
      <w:proofErr w:type="gramStart"/>
      <w:r w:rsidRPr="006E2DB1">
        <w:rPr>
          <w:rFonts w:ascii="Times New Roman" w:hAnsi="Times New Roman" w:cs="Times New Roman"/>
        </w:rPr>
        <w:t>,</w:t>
      </w:r>
      <w:proofErr w:type="gramEnd"/>
      <w:r w:rsidRPr="006E2DB1">
        <w:rPr>
          <w:rFonts w:ascii="Times New Roman" w:hAnsi="Times New Roman" w:cs="Times New Roman"/>
        </w:rPr>
        <w:t xml:space="preserve"> чтобы  разобраться  в том, является ли симметрия  фундаментальным свойством природы,  или понятием  чисто математическим,  понадобилось  множество соответствующей литературы, так же был проведён  ряд опросов среди </w:t>
      </w:r>
      <w:r w:rsidR="0011677B">
        <w:rPr>
          <w:rFonts w:ascii="Times New Roman" w:hAnsi="Times New Roman" w:cs="Times New Roman"/>
        </w:rPr>
        <w:t xml:space="preserve">учащихся </w:t>
      </w:r>
      <w:proofErr w:type="spellStart"/>
      <w:r w:rsidR="0011677B">
        <w:rPr>
          <w:rFonts w:ascii="Times New Roman" w:hAnsi="Times New Roman" w:cs="Times New Roman"/>
        </w:rPr>
        <w:t>Башмачинской</w:t>
      </w:r>
      <w:proofErr w:type="spellEnd"/>
      <w:r w:rsidR="0011677B">
        <w:rPr>
          <w:rFonts w:ascii="Times New Roman" w:hAnsi="Times New Roman" w:cs="Times New Roman"/>
        </w:rPr>
        <w:t xml:space="preserve"> ОСШ</w:t>
      </w:r>
      <w:r w:rsidRPr="006E2DB1">
        <w:rPr>
          <w:rFonts w:ascii="Times New Roman" w:hAnsi="Times New Roman" w:cs="Times New Roman"/>
        </w:rPr>
        <w:t xml:space="preserve">, который  позволил сделать некоторые выводы по данной  теме. </w:t>
      </w:r>
    </w:p>
    <w:p w:rsidR="009B4FC4" w:rsidRPr="006E2DB1" w:rsidRDefault="009B4FC4" w:rsidP="009B4FC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11677B">
        <w:rPr>
          <w:rFonts w:ascii="Times New Roman" w:hAnsi="Times New Roman" w:cs="Times New Roman"/>
        </w:rPr>
        <w:tab/>
      </w:r>
      <w:r w:rsidRPr="00D2600E">
        <w:rPr>
          <w:rFonts w:ascii="Times New Roman" w:hAnsi="Times New Roman" w:cs="Times New Roman"/>
        </w:rPr>
        <w:t>В разных странах и в разные времена симметрия определялась по-разному.</w:t>
      </w:r>
      <w:r w:rsidRPr="00D2600E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</w:t>
      </w:r>
      <w:r w:rsidRPr="00D2600E">
        <w:rPr>
          <w:rFonts w:ascii="Times New Roman" w:hAnsi="Times New Roman" w:cs="Times New Roman"/>
          <w:bCs/>
        </w:rPr>
        <w:t>Аристотель писал, что симметрия это: «Состояние, которое характеризуется соотношением крайностей</w:t>
      </w:r>
      <w:r>
        <w:rPr>
          <w:rFonts w:ascii="Times New Roman" w:hAnsi="Times New Roman" w:cs="Times New Roman"/>
          <w:bCs/>
        </w:rPr>
        <w:t>»</w:t>
      </w:r>
      <w:r w:rsidRPr="00D2600E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  <w:proofErr w:type="gramStart"/>
      <w:r w:rsidRPr="00D2600E">
        <w:rPr>
          <w:rFonts w:ascii="Times New Roman" w:hAnsi="Times New Roman" w:cs="Times New Roman"/>
          <w:bCs/>
        </w:rPr>
        <w:t>В «Кратком Оксфордском словаре» симметрия определяется как «</w:t>
      </w:r>
      <w:r>
        <w:rPr>
          <w:rFonts w:ascii="Times New Roman" w:hAnsi="Times New Roman" w:cs="Times New Roman"/>
          <w:bCs/>
        </w:rPr>
        <w:t>…</w:t>
      </w:r>
      <w:r w:rsidRPr="00D2600E">
        <w:rPr>
          <w:rFonts w:ascii="Times New Roman" w:hAnsi="Times New Roman" w:cs="Times New Roman"/>
          <w:bCs/>
        </w:rPr>
        <w:t>красота, обусловленная пропорциональностью частей тела или любого целого, равновесием, подобием, гармонией, согласованностью» (сам термин «симметрия» по-гречески означает «соразмерность», которую древние философы понимали как частный случай гармонии - согла</w:t>
      </w:r>
      <w:r>
        <w:rPr>
          <w:rFonts w:ascii="Times New Roman" w:hAnsi="Times New Roman" w:cs="Times New Roman"/>
          <w:bCs/>
        </w:rPr>
        <w:t>сования частей в рамках целого)</w:t>
      </w:r>
      <w:r w:rsidRPr="00D2600E">
        <w:rPr>
          <w:rFonts w:ascii="Times New Roman" w:hAnsi="Times New Roman" w:cs="Times New Roman"/>
          <w:bCs/>
        </w:rPr>
        <w:t>.</w:t>
      </w:r>
      <w:proofErr w:type="gramEnd"/>
      <w:r w:rsidRPr="00D2600E">
        <w:rPr>
          <w:rFonts w:ascii="Times New Roman" w:hAnsi="Times New Roman" w:cs="Times New Roman"/>
          <w:bCs/>
        </w:rPr>
        <w:t xml:space="preserve"> А  Дж. </w:t>
      </w:r>
      <w:proofErr w:type="spellStart"/>
      <w:r w:rsidRPr="00D2600E">
        <w:rPr>
          <w:rFonts w:ascii="Times New Roman" w:hAnsi="Times New Roman" w:cs="Times New Roman"/>
          <w:bCs/>
        </w:rPr>
        <w:t>Ньюмен</w:t>
      </w:r>
      <w:proofErr w:type="spellEnd"/>
      <w:r w:rsidRPr="00D2600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говорил: «Симметрия </w:t>
      </w:r>
      <w:r w:rsidRPr="00D2600E">
        <w:rPr>
          <w:rFonts w:ascii="Times New Roman" w:hAnsi="Times New Roman" w:cs="Times New Roman"/>
          <w:bCs/>
        </w:rPr>
        <w:t>устанавливает забавное и удивительное родство между предметами, явлениями и теориями, внешне, казалось  бы, ничем не связанными: земным</w:t>
      </w:r>
      <w:r w:rsidRPr="00D2600E">
        <w:rPr>
          <w:rFonts w:ascii="Times New Roman" w:hAnsi="Times New Roman" w:cs="Times New Roman"/>
          <w:b/>
          <w:bCs/>
        </w:rPr>
        <w:t xml:space="preserve"> </w:t>
      </w:r>
      <w:r w:rsidRPr="00D2600E">
        <w:rPr>
          <w:rFonts w:ascii="Times New Roman" w:hAnsi="Times New Roman" w:cs="Times New Roman"/>
          <w:bCs/>
        </w:rPr>
        <w:t>магнетизмом, равновесными конфигурациями кристаллов, романскими соборами, снежинками, музыкой, теорией относительности...».</w:t>
      </w:r>
    </w:p>
    <w:p w:rsidR="009B4FC4" w:rsidRDefault="009B4FC4" w:rsidP="009B4FC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11677B">
        <w:rPr>
          <w:rFonts w:ascii="Times New Roman" w:hAnsi="Times New Roman" w:cs="Times New Roman"/>
        </w:rPr>
        <w:tab/>
      </w:r>
      <w:r w:rsidRPr="00D2600E">
        <w:rPr>
          <w:rFonts w:ascii="Times New Roman" w:hAnsi="Times New Roman" w:cs="Times New Roman"/>
        </w:rPr>
        <w:t xml:space="preserve">Что же такое симметрия? Почему симметрия буквально пронизывает весь окружающий нас мир? Существуют, в принципе, две группы симметрий. К первой группе относится симметрия положений, форм, структур. Это та симметрия, которую можно непосредственно видеть. Она может быть названа </w:t>
      </w:r>
      <w:r w:rsidRPr="00D2600E">
        <w:rPr>
          <w:rFonts w:ascii="Times New Roman" w:hAnsi="Times New Roman" w:cs="Times New Roman"/>
          <w:i/>
        </w:rPr>
        <w:t>геометрической симметрией.</w:t>
      </w:r>
      <w:r w:rsidRPr="00D2600E">
        <w:rPr>
          <w:rFonts w:ascii="Times New Roman" w:hAnsi="Times New Roman" w:cs="Times New Roman"/>
        </w:rPr>
        <w:t xml:space="preserve"> Вторая группа характеризует симметрию физических явлений и законов природы. Эта симметрия лежит в самой основе естественнонаучной картины мира: ее можно назвать </w:t>
      </w:r>
      <w:r w:rsidRPr="00D2600E">
        <w:rPr>
          <w:rFonts w:ascii="Times New Roman" w:hAnsi="Times New Roman" w:cs="Times New Roman"/>
          <w:i/>
        </w:rPr>
        <w:t>физической симметрией</w:t>
      </w:r>
      <w:r>
        <w:rPr>
          <w:rFonts w:ascii="Times New Roman" w:hAnsi="Times New Roman" w:cs="Times New Roman"/>
          <w:i/>
        </w:rPr>
        <w:t>.</w:t>
      </w:r>
    </w:p>
    <w:p w:rsidR="009B4FC4" w:rsidRPr="00422257" w:rsidRDefault="009B4FC4" w:rsidP="009B4FC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11677B">
        <w:rPr>
          <w:rFonts w:ascii="Times New Roman" w:hAnsi="Times New Roman" w:cs="Times New Roman"/>
        </w:rPr>
        <w:tab/>
      </w:r>
      <w:r w:rsidRPr="00422257">
        <w:rPr>
          <w:rFonts w:ascii="Times New Roman" w:hAnsi="Times New Roman" w:cs="Times New Roman"/>
          <w:bCs/>
        </w:rPr>
        <w:t>Целью этой работы являлось выяснить: Можно ли представить друг без друга понятия симметрии и асимметрии? Было проведено много опросов, исследований, прочитано большое количество книг и теперь можно смело сказать: «Нет, понятия симметрии и асимметрии не разделимые, а друг друга дополняющие!»  С симметрией мы встречаемся везде – в природе, технике, искусстве, науке. Понятие симметрии проходит через всю многовековую историю человеческого творчества. Принципы симметрии играют важную роль в физике и математике, химии и биологии, технике и архитектуре, живописи и скульптуре, поэзии и музыке. Законы природы, управляющие неисчерпаемой в своём многообразии картиной явлений, в свою очередь, подчиняются принципам симметрии. Существует множество видов симметрии</w:t>
      </w:r>
      <w:r>
        <w:rPr>
          <w:rFonts w:ascii="Times New Roman" w:hAnsi="Times New Roman" w:cs="Times New Roman"/>
          <w:bCs/>
        </w:rPr>
        <w:t xml:space="preserve"> в растительном</w:t>
      </w:r>
      <w:r w:rsidRPr="00422257">
        <w:rPr>
          <w:rFonts w:ascii="Times New Roman" w:hAnsi="Times New Roman" w:cs="Times New Roman"/>
          <w:bCs/>
        </w:rPr>
        <w:t xml:space="preserve"> и в животном мире, но при всем многообразии живых организмов, принцип симметрии действует всегда, и этот факт еще раз подчеркивает гармоничность нашего мира</w:t>
      </w:r>
      <w:r w:rsidR="0011677B">
        <w:rPr>
          <w:rFonts w:ascii="Times New Roman" w:hAnsi="Times New Roman" w:cs="Times New Roman"/>
          <w:bCs/>
        </w:rPr>
        <w:t>.</w:t>
      </w:r>
    </w:p>
    <w:p w:rsidR="009B4FC4" w:rsidRDefault="009B4FC4" w:rsidP="009B4FC4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</w:t>
      </w:r>
      <w:r w:rsidR="0011677B">
        <w:rPr>
          <w:rFonts w:ascii="Times New Roman" w:hAnsi="Times New Roman" w:cs="Times New Roman"/>
          <w:bCs/>
        </w:rPr>
        <w:tab/>
      </w:r>
      <w:r w:rsidRPr="00422257">
        <w:rPr>
          <w:rFonts w:ascii="Times New Roman" w:hAnsi="Times New Roman" w:cs="Times New Roman"/>
          <w:bCs/>
        </w:rPr>
        <w:t>Помимо симметрии существует также понятие асимметрии: Симметрия лежит в основе вещей и явлений, выражая нечто общее, свойственное разным объектам, тогда как асимметрия связана с индивидуальным воплощением этого общего в конкретном объекте.</w:t>
      </w:r>
    </w:p>
    <w:p w:rsidR="009B4FC4" w:rsidRDefault="009B4FC4" w:rsidP="009B4FC4">
      <w:pPr>
        <w:spacing w:after="0"/>
        <w:jc w:val="both"/>
        <w:rPr>
          <w:rFonts w:ascii="Times New Roman" w:hAnsi="Times New Roman" w:cs="Times New Roman"/>
          <w:bCs/>
        </w:rPr>
      </w:pPr>
    </w:p>
    <w:p w:rsidR="009B4FC4" w:rsidRDefault="009B4FC4" w:rsidP="009B4FC4">
      <w:pPr>
        <w:spacing w:after="0"/>
        <w:jc w:val="both"/>
        <w:rPr>
          <w:rFonts w:ascii="Times New Roman" w:hAnsi="Times New Roman" w:cs="Times New Roman"/>
          <w:bCs/>
        </w:rPr>
      </w:pPr>
    </w:p>
    <w:p w:rsidR="009B4FC4" w:rsidRDefault="009B4FC4" w:rsidP="009B4FC4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11677B" w:rsidRDefault="0011677B" w:rsidP="009B4FC4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9B4FC4" w:rsidRPr="00C861B1" w:rsidRDefault="009B4FC4" w:rsidP="009B4FC4">
      <w:pPr>
        <w:spacing w:after="0"/>
        <w:jc w:val="both"/>
        <w:rPr>
          <w:rFonts w:ascii="Times New Roman" w:hAnsi="Times New Roman" w:cs="Times New Roman"/>
          <w:bCs/>
        </w:rPr>
      </w:pPr>
      <w:r w:rsidRPr="005F4144">
        <w:rPr>
          <w:rFonts w:ascii="Times New Roman" w:hAnsi="Times New Roman" w:cs="Times New Roman"/>
          <w:b/>
          <w:u w:val="single"/>
        </w:rPr>
        <w:lastRenderedPageBreak/>
        <w:t>Исследовательская часть.</w:t>
      </w:r>
    </w:p>
    <w:p w:rsidR="009B4FC4" w:rsidRDefault="009B4FC4" w:rsidP="009B4FC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422257">
        <w:rPr>
          <w:rFonts w:ascii="Times New Roman" w:hAnsi="Times New Roman" w:cs="Times New Roman"/>
        </w:rPr>
        <w:t>Среди у</w:t>
      </w:r>
      <w:r w:rsidR="0011677B">
        <w:rPr>
          <w:rFonts w:ascii="Times New Roman" w:hAnsi="Times New Roman" w:cs="Times New Roman"/>
        </w:rPr>
        <w:t xml:space="preserve">чащихся </w:t>
      </w:r>
      <w:proofErr w:type="spellStart"/>
      <w:r w:rsidR="0011677B">
        <w:rPr>
          <w:rFonts w:ascii="Times New Roman" w:hAnsi="Times New Roman" w:cs="Times New Roman"/>
        </w:rPr>
        <w:t>Башмачинской</w:t>
      </w:r>
      <w:proofErr w:type="spellEnd"/>
      <w:r w:rsidR="0011677B">
        <w:rPr>
          <w:rFonts w:ascii="Times New Roman" w:hAnsi="Times New Roman" w:cs="Times New Roman"/>
        </w:rPr>
        <w:t xml:space="preserve"> ОСШ  </w:t>
      </w:r>
      <w:r w:rsidRPr="00422257">
        <w:rPr>
          <w:rFonts w:ascii="Times New Roman" w:hAnsi="Times New Roman" w:cs="Times New Roman"/>
        </w:rPr>
        <w:t xml:space="preserve">был проведён опрос на тему </w:t>
      </w:r>
      <w:r w:rsidRPr="00422257">
        <w:rPr>
          <w:rFonts w:ascii="Times New Roman" w:hAnsi="Times New Roman" w:cs="Times New Roman"/>
          <w:b/>
        </w:rPr>
        <w:t>«Симметрия и асимметрия вокруг нас»</w:t>
      </w:r>
      <w:r w:rsidRPr="00422257">
        <w:rPr>
          <w:rFonts w:ascii="Times New Roman" w:hAnsi="Times New Roman" w:cs="Times New Roman"/>
        </w:rPr>
        <w:t>. Им было предложено назвать предметы, которые, по их мнению, ассоциируются с понятиями симметрия и асимметрия. Результаты данног</w:t>
      </w:r>
      <w:r>
        <w:rPr>
          <w:rFonts w:ascii="Times New Roman" w:hAnsi="Times New Roman" w:cs="Times New Roman"/>
        </w:rPr>
        <w:t>о опроса представлены в таблице: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0"/>
        <w:gridCol w:w="2125"/>
        <w:gridCol w:w="2393"/>
        <w:gridCol w:w="2393"/>
      </w:tblGrid>
      <w:tr w:rsidR="003C6793" w:rsidTr="003C6793">
        <w:tc>
          <w:tcPr>
            <w:tcW w:w="2660" w:type="dxa"/>
          </w:tcPr>
          <w:p w:rsidR="003C6793" w:rsidRDefault="003C6793" w:rsidP="003C67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</w:t>
            </w:r>
          </w:p>
        </w:tc>
        <w:tc>
          <w:tcPr>
            <w:tcW w:w="2125" w:type="dxa"/>
          </w:tcPr>
          <w:p w:rsidR="003C6793" w:rsidRDefault="003C6793" w:rsidP="003C67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393" w:type="dxa"/>
          </w:tcPr>
          <w:p w:rsidR="003C6793" w:rsidRDefault="003C6793" w:rsidP="003C67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Симметрия</w:t>
            </w:r>
          </w:p>
        </w:tc>
        <w:tc>
          <w:tcPr>
            <w:tcW w:w="2393" w:type="dxa"/>
          </w:tcPr>
          <w:p w:rsidR="003C6793" w:rsidRDefault="003C6793" w:rsidP="003C67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Асимметрия</w:t>
            </w:r>
          </w:p>
        </w:tc>
      </w:tr>
      <w:tr w:rsidR="003C6793" w:rsidTr="003C6793">
        <w:tc>
          <w:tcPr>
            <w:tcW w:w="2660" w:type="dxa"/>
          </w:tcPr>
          <w:p w:rsidR="003C6793" w:rsidRDefault="003C6793" w:rsidP="003C67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Павленко Артём</w:t>
            </w:r>
          </w:p>
        </w:tc>
        <w:tc>
          <w:tcPr>
            <w:tcW w:w="2125" w:type="dxa"/>
          </w:tcPr>
          <w:p w:rsidR="003C6793" w:rsidRDefault="003C6793" w:rsidP="003C67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3" w:type="dxa"/>
          </w:tcPr>
          <w:p w:rsidR="003C6793" w:rsidRDefault="003C6793" w:rsidP="003C67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Бабочка</w:t>
            </w:r>
          </w:p>
        </w:tc>
        <w:tc>
          <w:tcPr>
            <w:tcW w:w="2393" w:type="dxa"/>
          </w:tcPr>
          <w:p w:rsidR="003C6793" w:rsidRDefault="003C6793" w:rsidP="003C67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Границы чего-либо</w:t>
            </w:r>
          </w:p>
        </w:tc>
      </w:tr>
      <w:tr w:rsidR="003C6793" w:rsidTr="003C6793">
        <w:tc>
          <w:tcPr>
            <w:tcW w:w="2660" w:type="dxa"/>
          </w:tcPr>
          <w:p w:rsidR="003C6793" w:rsidRDefault="003C6793" w:rsidP="003C67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 Маргарита</w:t>
            </w:r>
          </w:p>
        </w:tc>
        <w:tc>
          <w:tcPr>
            <w:tcW w:w="2125" w:type="dxa"/>
          </w:tcPr>
          <w:p w:rsidR="003C6793" w:rsidRDefault="003C6793" w:rsidP="003C67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3" w:type="dxa"/>
          </w:tcPr>
          <w:p w:rsidR="003C6793" w:rsidRDefault="003C6793" w:rsidP="003C67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Сердце</w:t>
            </w:r>
          </w:p>
        </w:tc>
        <w:tc>
          <w:tcPr>
            <w:tcW w:w="2393" w:type="dxa"/>
          </w:tcPr>
          <w:p w:rsidR="003C6793" w:rsidRDefault="003C6793" w:rsidP="003C67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Ветки деревьев</w:t>
            </w:r>
          </w:p>
        </w:tc>
      </w:tr>
      <w:tr w:rsidR="003C6793" w:rsidTr="003C6793">
        <w:tc>
          <w:tcPr>
            <w:tcW w:w="2660" w:type="dxa"/>
          </w:tcPr>
          <w:p w:rsidR="003C6793" w:rsidRDefault="003C6793" w:rsidP="003C67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Арсентьева Виктория</w:t>
            </w:r>
          </w:p>
        </w:tc>
        <w:tc>
          <w:tcPr>
            <w:tcW w:w="2125" w:type="dxa"/>
          </w:tcPr>
          <w:p w:rsidR="003C6793" w:rsidRDefault="003C6793" w:rsidP="003C67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93" w:type="dxa"/>
          </w:tcPr>
          <w:p w:rsidR="003C6793" w:rsidRDefault="003C6793" w:rsidP="003C67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Правая и левая рука</w:t>
            </w:r>
          </w:p>
        </w:tc>
        <w:tc>
          <w:tcPr>
            <w:tcW w:w="2393" w:type="dxa"/>
          </w:tcPr>
          <w:p w:rsidR="003C6793" w:rsidRDefault="003C6793" w:rsidP="003C67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Погодные явления</w:t>
            </w:r>
          </w:p>
        </w:tc>
      </w:tr>
      <w:tr w:rsidR="003C6793" w:rsidTr="003C6793">
        <w:tc>
          <w:tcPr>
            <w:tcW w:w="2660" w:type="dxa"/>
          </w:tcPr>
          <w:p w:rsidR="003C6793" w:rsidRDefault="003C6793" w:rsidP="003C67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Тецлав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</w:t>
            </w:r>
          </w:p>
        </w:tc>
        <w:tc>
          <w:tcPr>
            <w:tcW w:w="2125" w:type="dxa"/>
          </w:tcPr>
          <w:p w:rsidR="003C6793" w:rsidRDefault="003C6793" w:rsidP="003C67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93" w:type="dxa"/>
          </w:tcPr>
          <w:p w:rsidR="003C6793" w:rsidRDefault="003C6793" w:rsidP="003C67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Ромашка</w:t>
            </w:r>
          </w:p>
        </w:tc>
        <w:tc>
          <w:tcPr>
            <w:tcW w:w="2393" w:type="dxa"/>
          </w:tcPr>
          <w:p w:rsidR="003C6793" w:rsidRDefault="003C6793" w:rsidP="003C67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Пизанская Башня</w:t>
            </w:r>
          </w:p>
        </w:tc>
      </w:tr>
      <w:tr w:rsidR="003C6793" w:rsidTr="003C6793">
        <w:tc>
          <w:tcPr>
            <w:tcW w:w="2660" w:type="dxa"/>
          </w:tcPr>
          <w:p w:rsidR="003C6793" w:rsidRDefault="003C6793" w:rsidP="003C67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Приматова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</w:t>
            </w:r>
          </w:p>
        </w:tc>
        <w:tc>
          <w:tcPr>
            <w:tcW w:w="2125" w:type="dxa"/>
          </w:tcPr>
          <w:p w:rsidR="003C6793" w:rsidRDefault="003C6793" w:rsidP="003C67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93" w:type="dxa"/>
          </w:tcPr>
          <w:p w:rsidR="003C6793" w:rsidRDefault="003C6793" w:rsidP="003C67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Звезда</w:t>
            </w:r>
          </w:p>
        </w:tc>
        <w:tc>
          <w:tcPr>
            <w:tcW w:w="2393" w:type="dxa"/>
          </w:tcPr>
          <w:p w:rsidR="003C6793" w:rsidRDefault="003C6793" w:rsidP="003C67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Облака</w:t>
            </w:r>
          </w:p>
        </w:tc>
      </w:tr>
      <w:tr w:rsidR="003C6793" w:rsidTr="003C6793">
        <w:tc>
          <w:tcPr>
            <w:tcW w:w="2660" w:type="dxa"/>
          </w:tcPr>
          <w:p w:rsidR="003C6793" w:rsidRDefault="003C6793" w:rsidP="003C67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 Ангелина</w:t>
            </w:r>
          </w:p>
        </w:tc>
        <w:tc>
          <w:tcPr>
            <w:tcW w:w="2125" w:type="dxa"/>
          </w:tcPr>
          <w:p w:rsidR="003C6793" w:rsidRDefault="003C6793" w:rsidP="003C67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93" w:type="dxa"/>
          </w:tcPr>
          <w:p w:rsidR="003C6793" w:rsidRDefault="003C6793" w:rsidP="003C67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Снежинка</w:t>
            </w:r>
          </w:p>
        </w:tc>
        <w:tc>
          <w:tcPr>
            <w:tcW w:w="2393" w:type="dxa"/>
          </w:tcPr>
          <w:p w:rsidR="003C6793" w:rsidRDefault="003C6793" w:rsidP="003C67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Прическа </w:t>
            </w:r>
          </w:p>
        </w:tc>
      </w:tr>
      <w:tr w:rsidR="003C6793" w:rsidTr="003C6793">
        <w:tc>
          <w:tcPr>
            <w:tcW w:w="2660" w:type="dxa"/>
          </w:tcPr>
          <w:p w:rsidR="003C6793" w:rsidRDefault="003C6793" w:rsidP="003C67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 Илья</w:t>
            </w:r>
          </w:p>
        </w:tc>
        <w:tc>
          <w:tcPr>
            <w:tcW w:w="2125" w:type="dxa"/>
          </w:tcPr>
          <w:p w:rsidR="003C6793" w:rsidRDefault="003C6793" w:rsidP="003C67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93" w:type="dxa"/>
          </w:tcPr>
          <w:p w:rsidR="003C6793" w:rsidRDefault="003C6793" w:rsidP="003C67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Квадрат</w:t>
            </w:r>
          </w:p>
        </w:tc>
        <w:tc>
          <w:tcPr>
            <w:tcW w:w="2393" w:type="dxa"/>
          </w:tcPr>
          <w:p w:rsidR="003C6793" w:rsidRDefault="003C6793" w:rsidP="003C67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Камни</w:t>
            </w:r>
          </w:p>
        </w:tc>
      </w:tr>
    </w:tbl>
    <w:p w:rsidR="003C6793" w:rsidRPr="00422257" w:rsidRDefault="003C6793" w:rsidP="009B4FC4">
      <w:pPr>
        <w:spacing w:after="0"/>
        <w:jc w:val="both"/>
        <w:rPr>
          <w:rFonts w:ascii="Times New Roman" w:hAnsi="Times New Roman" w:cs="Times New Roman"/>
        </w:rPr>
      </w:pPr>
    </w:p>
    <w:p w:rsidR="003C6793" w:rsidRDefault="009B4FC4" w:rsidP="009B4FC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22257">
        <w:rPr>
          <w:rFonts w:ascii="Times New Roman" w:hAnsi="Times New Roman" w:cs="Times New Roman"/>
          <w:b/>
        </w:rPr>
        <w:t xml:space="preserve">Вывод: </w:t>
      </w:r>
    </w:p>
    <w:p w:rsidR="009B4FC4" w:rsidRDefault="003C6793" w:rsidP="009B4F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679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b/>
        </w:rPr>
        <w:t xml:space="preserve">. </w:t>
      </w:r>
      <w:r w:rsidR="009B4FC4" w:rsidRPr="00422257">
        <w:rPr>
          <w:rFonts w:ascii="Times New Roman" w:hAnsi="Times New Roman" w:cs="Times New Roman"/>
        </w:rPr>
        <w:t xml:space="preserve">В ходе проведения опроса ребята с лёгкостью называли предметы, связанные с понятием симметрии, а вот асимметрия вводила их в некоторое затруднение, следовательно, несмотря на то, что наш мир, казалось бы, полон асимметрии, красота и гармония нам все-таки ближе. </w:t>
      </w:r>
    </w:p>
    <w:p w:rsidR="009B4FC4" w:rsidRDefault="009B4FC4" w:rsidP="009B4F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422257">
        <w:rPr>
          <w:rFonts w:ascii="Times New Roman" w:hAnsi="Times New Roman" w:cs="Times New Roman"/>
        </w:rPr>
        <w:t>Суть этого исследования заключалась в том, чтобы выявить интерес к проблеме симметрии  среди  учеников старших классов. В процессе этой работы</w:t>
      </w:r>
      <w:r w:rsidR="001D4F5E">
        <w:rPr>
          <w:rFonts w:ascii="Times New Roman" w:hAnsi="Times New Roman" w:cs="Times New Roman"/>
        </w:rPr>
        <w:t xml:space="preserve"> учащимся </w:t>
      </w:r>
      <w:r w:rsidRPr="00422257">
        <w:rPr>
          <w:rFonts w:ascii="Times New Roman" w:hAnsi="Times New Roman" w:cs="Times New Roman"/>
        </w:rPr>
        <w:t>предлагалось ответить на вопрос:</w:t>
      </w:r>
      <w:r w:rsidRPr="00422257">
        <w:rPr>
          <w:rFonts w:ascii="Times New Roman" w:hAnsi="Times New Roman" w:cs="Times New Roman"/>
          <w:color w:val="C00000"/>
        </w:rPr>
        <w:t xml:space="preserve"> </w:t>
      </w:r>
      <w:r>
        <w:rPr>
          <w:rFonts w:ascii="Times New Roman" w:hAnsi="Times New Roman" w:cs="Times New Roman"/>
          <w:b/>
        </w:rPr>
        <w:t>«</w:t>
      </w:r>
      <w:r w:rsidRPr="00422257">
        <w:rPr>
          <w:rFonts w:ascii="Times New Roman" w:hAnsi="Times New Roman" w:cs="Times New Roman"/>
          <w:b/>
        </w:rPr>
        <w:t>Вы задумывались над многогранностью симметрии?»</w:t>
      </w:r>
      <w:r w:rsidRPr="00422257">
        <w:rPr>
          <w:rFonts w:ascii="Times New Roman" w:hAnsi="Times New Roman" w:cs="Times New Roman"/>
        </w:rPr>
        <w:t xml:space="preserve">. После анализа полученных результатов была составлена диаграмма (числа </w:t>
      </w:r>
      <w:r>
        <w:rPr>
          <w:rFonts w:ascii="Times New Roman" w:hAnsi="Times New Roman" w:cs="Times New Roman"/>
        </w:rPr>
        <w:t>являются процентами опрошенных)</w:t>
      </w:r>
      <w:r w:rsidRPr="00422257">
        <w:rPr>
          <w:rFonts w:ascii="Times New Roman" w:hAnsi="Times New Roman" w:cs="Times New Roman"/>
        </w:rPr>
        <w:t>.</w:t>
      </w:r>
    </w:p>
    <w:p w:rsidR="001D4F5E" w:rsidRPr="00422257" w:rsidRDefault="001D4F5E" w:rsidP="009B4F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4FC4" w:rsidRDefault="009B4FC4" w:rsidP="009B4FC4">
      <w:pPr>
        <w:jc w:val="both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657850" cy="3533775"/>
            <wp:effectExtent l="0" t="0" r="0" b="0"/>
            <wp:docPr id="17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Pr="005F4144">
        <w:rPr>
          <w:rFonts w:ascii="Times New Roman" w:hAnsi="Times New Roman" w:cs="Times New Roman"/>
          <w:b/>
        </w:rPr>
        <w:t>Вывод:</w:t>
      </w:r>
      <w:r w:rsidRPr="005F4144">
        <w:rPr>
          <w:rFonts w:ascii="Times New Roman" w:hAnsi="Times New Roman" w:cs="Times New Roman"/>
        </w:rPr>
        <w:t xml:space="preserve"> Если посмотреть на данную диаграмму, то можно сказать о том, что подростки практически не задумываются над проблемой симметрии, но чем старше мы становимся, тем больше хотим познать окружающий нас мир</w:t>
      </w:r>
      <w:proofErr w:type="gramStart"/>
      <w:r w:rsidRPr="005F4144">
        <w:rPr>
          <w:rFonts w:ascii="Times New Roman" w:hAnsi="Times New Roman" w:cs="Times New Roman"/>
        </w:rPr>
        <w:t>.</w:t>
      </w:r>
      <w:proofErr w:type="gramEnd"/>
    </w:p>
    <w:p w:rsidR="0090550B" w:rsidRDefault="0090550B" w:rsidP="0090550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4148D7" w:rsidRDefault="004148D7"/>
    <w:sectPr w:rsidR="004148D7" w:rsidSect="00414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550B"/>
    <w:rsid w:val="0011677B"/>
    <w:rsid w:val="001D4F5E"/>
    <w:rsid w:val="003C6793"/>
    <w:rsid w:val="004148D7"/>
    <w:rsid w:val="008C77F5"/>
    <w:rsid w:val="0090550B"/>
    <w:rsid w:val="009B4FC4"/>
    <w:rsid w:val="00E00F27"/>
    <w:rsid w:val="00E135EB"/>
    <w:rsid w:val="00E4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50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C77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77F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 Spacing"/>
    <w:link w:val="a4"/>
    <w:uiPriority w:val="99"/>
    <w:qFormat/>
    <w:rsid w:val="008C77F5"/>
    <w:rPr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99"/>
    <w:locked/>
    <w:rsid w:val="008C77F5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8C77F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9B4FC4"/>
  </w:style>
  <w:style w:type="table" w:styleId="-2">
    <w:name w:val="Light List Accent 2"/>
    <w:basedOn w:val="a1"/>
    <w:uiPriority w:val="61"/>
    <w:rsid w:val="009B4FC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9B4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4FC4"/>
    <w:rPr>
      <w:rFonts w:ascii="Tahoma" w:eastAsiaTheme="minorHAnsi" w:hAnsi="Tahoma" w:cs="Tahoma"/>
      <w:sz w:val="16"/>
      <w:szCs w:val="16"/>
      <w:lang w:eastAsia="en-US"/>
    </w:rPr>
  </w:style>
  <w:style w:type="table" w:styleId="a8">
    <w:name w:val="Table Grid"/>
    <w:basedOn w:val="a1"/>
    <w:uiPriority w:val="59"/>
    <w:rsid w:val="003C67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8172450665888983E-2"/>
          <c:y val="3.9901238760249307E-2"/>
          <c:w val="0.69383758848325783"/>
          <c:h val="0.8880353163401744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Нет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9 класс</c:v>
                </c:pt>
                <c:pt idx="4">
                  <c:v>10 класс</c:v>
                </c:pt>
                <c:pt idx="5">
                  <c:v>11 класс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</c:v>
                </c:pt>
                <c:pt idx="1">
                  <c:v>6</c:v>
                </c:pt>
                <c:pt idx="2">
                  <c:v>5</c:v>
                </c:pt>
                <c:pt idx="3">
                  <c:v>3</c:v>
                </c:pt>
                <c:pt idx="4">
                  <c:v>0</c:v>
                </c:pt>
                <c:pt idx="5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Пару раз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9 класс</c:v>
                </c:pt>
                <c:pt idx="4">
                  <c:v>10 класс</c:v>
                </c:pt>
                <c:pt idx="5">
                  <c:v>11 класс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5</c:v>
                </c:pt>
                <c:pt idx="5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Да, это интересно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9 класс</c:v>
                </c:pt>
                <c:pt idx="4">
                  <c:v>10 класс</c:v>
                </c:pt>
                <c:pt idx="5">
                  <c:v>11 класс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5</c:v>
                </c:pt>
                <c:pt idx="5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09740416"/>
        <c:axId val="109741952"/>
        <c:axId val="0"/>
      </c:bar3DChart>
      <c:catAx>
        <c:axId val="10974041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aseline="0">
                <a:solidFill>
                  <a:schemeClr val="tx2">
                    <a:lumMod val="75000"/>
                  </a:schemeClr>
                </a:solidFill>
              </a:defRPr>
            </a:pPr>
            <a:endParaRPr lang="ru-RU"/>
          </a:p>
        </c:txPr>
        <c:crossAx val="109741952"/>
        <c:crosses val="autoZero"/>
        <c:auto val="1"/>
        <c:lblAlgn val="ctr"/>
        <c:lblOffset val="100"/>
        <c:noMultiLvlLbl val="0"/>
      </c:catAx>
      <c:valAx>
        <c:axId val="1097419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aseline="0">
                <a:solidFill>
                  <a:schemeClr val="accent2">
                    <a:lumMod val="75000"/>
                  </a:schemeClr>
                </a:solidFill>
              </a:defRPr>
            </a:pPr>
            <a:endParaRPr lang="ru-RU"/>
          </a:p>
        </c:txPr>
        <c:crossAx val="1097404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4194553805774865"/>
          <c:y val="0.34871266091739445"/>
          <c:w val="0.2557396471274424"/>
          <c:h val="0.3779711911011123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</cp:lastModifiedBy>
  <cp:revision>8</cp:revision>
  <dcterms:created xsi:type="dcterms:W3CDTF">2013-03-29T05:00:00Z</dcterms:created>
  <dcterms:modified xsi:type="dcterms:W3CDTF">2020-06-30T05:20:00Z</dcterms:modified>
</cp:coreProperties>
</file>