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7E" w:rsidRDefault="0022047E" w:rsidP="000B19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0B0C" w:rsidRPr="00D45B80" w:rsidRDefault="007D5306" w:rsidP="007D53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Понятия </w:t>
      </w:r>
      <w:r w:rsidR="004F52C1">
        <w:rPr>
          <w:rFonts w:ascii="Times New Roman" w:hAnsi="Times New Roman" w:cs="Times New Roman"/>
          <w:b/>
          <w:sz w:val="36"/>
          <w:szCs w:val="36"/>
        </w:rPr>
        <w:t>чистой</w:t>
      </w:r>
      <w:bookmarkStart w:id="0" w:name="_GoBack"/>
      <w:bookmarkEnd w:id="0"/>
      <w:r w:rsidR="000B19EA" w:rsidRPr="00D45B80">
        <w:rPr>
          <w:rFonts w:ascii="Times New Roman" w:hAnsi="Times New Roman" w:cs="Times New Roman"/>
          <w:b/>
          <w:sz w:val="36"/>
          <w:szCs w:val="36"/>
        </w:rPr>
        <w:t xml:space="preserve"> интонации и интонирования</w:t>
      </w:r>
    </w:p>
    <w:p w:rsidR="00A452F6" w:rsidRPr="00D45B80" w:rsidRDefault="000B19EA" w:rsidP="000B19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B80">
        <w:rPr>
          <w:rFonts w:ascii="Times New Roman" w:hAnsi="Times New Roman" w:cs="Times New Roman"/>
          <w:b/>
          <w:sz w:val="36"/>
          <w:szCs w:val="36"/>
        </w:rPr>
        <w:t>на струнно-смычковом инструменте</w:t>
      </w:r>
    </w:p>
    <w:p w:rsidR="000B19EA" w:rsidRPr="00673199" w:rsidRDefault="000B19EA" w:rsidP="000B1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B0C" w:rsidRPr="00673199" w:rsidRDefault="000B19EA" w:rsidP="006731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 xml:space="preserve">Проблема точности интонации и интонирования на струнно-смычковых инструментах стоит очень остро. Музыкальное искусство является живым, вечно меняющимся, </w:t>
      </w:r>
      <w:proofErr w:type="spellStart"/>
      <w:r w:rsidRPr="00673199">
        <w:rPr>
          <w:rFonts w:ascii="Times New Roman" w:hAnsi="Times New Roman" w:cs="Times New Roman"/>
          <w:sz w:val="28"/>
          <w:szCs w:val="28"/>
        </w:rPr>
        <w:t>нестатичным</w:t>
      </w:r>
      <w:proofErr w:type="spellEnd"/>
      <w:r w:rsidRPr="00673199">
        <w:rPr>
          <w:rFonts w:ascii="Times New Roman" w:hAnsi="Times New Roman" w:cs="Times New Roman"/>
          <w:sz w:val="28"/>
          <w:szCs w:val="28"/>
        </w:rPr>
        <w:t xml:space="preserve"> потоком передачи человеческих мыслей, чувств и переживаний. В отличие от других видов искусств музыка всегда живет и дышит, воплощение ее  для исполнителей зачастую это непростой процесс, требующий полной самоотдачи, максимальной концентрации и постоянного внимания. При игре на струнно-смычковых инструментах</w:t>
      </w:r>
      <w:r w:rsidR="00E00B0C" w:rsidRPr="00673199">
        <w:rPr>
          <w:rFonts w:ascii="Times New Roman" w:hAnsi="Times New Roman" w:cs="Times New Roman"/>
          <w:sz w:val="28"/>
          <w:szCs w:val="28"/>
        </w:rPr>
        <w:t xml:space="preserve"> </w:t>
      </w:r>
      <w:r w:rsidRPr="00673199">
        <w:rPr>
          <w:rFonts w:ascii="Times New Roman" w:hAnsi="Times New Roman" w:cs="Times New Roman"/>
          <w:sz w:val="28"/>
          <w:szCs w:val="28"/>
        </w:rPr>
        <w:t>- скрип</w:t>
      </w:r>
      <w:r w:rsidR="00E00B0C" w:rsidRPr="00673199">
        <w:rPr>
          <w:rFonts w:ascii="Times New Roman" w:hAnsi="Times New Roman" w:cs="Times New Roman"/>
          <w:sz w:val="28"/>
          <w:szCs w:val="28"/>
        </w:rPr>
        <w:t>ка, альт, виолончель, контрабас</w:t>
      </w:r>
      <w:r w:rsidRPr="00673199">
        <w:rPr>
          <w:rFonts w:ascii="Times New Roman" w:hAnsi="Times New Roman" w:cs="Times New Roman"/>
          <w:sz w:val="28"/>
          <w:szCs w:val="28"/>
        </w:rPr>
        <w:t>, прима-</w:t>
      </w:r>
      <w:proofErr w:type="spellStart"/>
      <w:r w:rsidRPr="00673199">
        <w:rPr>
          <w:rFonts w:ascii="Times New Roman" w:hAnsi="Times New Roman" w:cs="Times New Roman"/>
          <w:sz w:val="28"/>
          <w:szCs w:val="28"/>
        </w:rPr>
        <w:t>кобыз</w:t>
      </w:r>
      <w:proofErr w:type="spellEnd"/>
      <w:r w:rsidRPr="00673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199">
        <w:rPr>
          <w:rFonts w:ascii="Times New Roman" w:hAnsi="Times New Roman" w:cs="Times New Roman"/>
          <w:sz w:val="28"/>
          <w:szCs w:val="28"/>
        </w:rPr>
        <w:t>кыл-кобыз</w:t>
      </w:r>
      <w:proofErr w:type="spellEnd"/>
      <w:r w:rsidR="00E00B0C" w:rsidRPr="00673199">
        <w:rPr>
          <w:rFonts w:ascii="Times New Roman" w:hAnsi="Times New Roman" w:cs="Times New Roman"/>
          <w:sz w:val="28"/>
          <w:szCs w:val="28"/>
        </w:rPr>
        <w:t xml:space="preserve"> </w:t>
      </w:r>
      <w:r w:rsidRPr="00673199">
        <w:rPr>
          <w:rFonts w:ascii="Times New Roman" w:hAnsi="Times New Roman" w:cs="Times New Roman"/>
          <w:sz w:val="28"/>
          <w:szCs w:val="28"/>
        </w:rPr>
        <w:t>- постоянно требуется большое внимание уделять чистоте интонации, которая зависит от многих факторов. Ведущие педагоги русской школы (Янкелевич, Ауэр, Ямпольский) приводят несколько факторов, влияющих</w:t>
      </w:r>
      <w:r w:rsidR="00E00B0C" w:rsidRPr="00673199">
        <w:rPr>
          <w:rFonts w:ascii="Times New Roman" w:hAnsi="Times New Roman" w:cs="Times New Roman"/>
          <w:sz w:val="28"/>
          <w:szCs w:val="28"/>
        </w:rPr>
        <w:t xml:space="preserve"> на чистоту интонации, </w:t>
      </w:r>
      <w:r w:rsidRPr="00673199">
        <w:rPr>
          <w:rFonts w:ascii="Times New Roman" w:hAnsi="Times New Roman" w:cs="Times New Roman"/>
          <w:sz w:val="28"/>
          <w:szCs w:val="28"/>
        </w:rPr>
        <w:t xml:space="preserve"> в первую очередь отмечают развитос</w:t>
      </w:r>
      <w:r w:rsidR="00E00B0C" w:rsidRPr="00673199">
        <w:rPr>
          <w:rFonts w:ascii="Times New Roman" w:hAnsi="Times New Roman" w:cs="Times New Roman"/>
          <w:sz w:val="28"/>
          <w:szCs w:val="28"/>
        </w:rPr>
        <w:t>ть внутреннего слуха, причем не</w:t>
      </w:r>
      <w:r w:rsidRPr="00673199">
        <w:rPr>
          <w:rFonts w:ascii="Times New Roman" w:hAnsi="Times New Roman" w:cs="Times New Roman"/>
          <w:sz w:val="28"/>
          <w:szCs w:val="28"/>
        </w:rPr>
        <w:t xml:space="preserve">обязательно, чтобы исполнитель обладал абсолютным слухом, достаточно иметь развитый относительный слух. То есть, музыкант должен </w:t>
      </w:r>
      <w:r w:rsidR="00E00B0C" w:rsidRPr="00673199">
        <w:rPr>
          <w:rFonts w:ascii="Times New Roman" w:hAnsi="Times New Roman" w:cs="Times New Roman"/>
          <w:sz w:val="28"/>
          <w:szCs w:val="28"/>
        </w:rPr>
        <w:t xml:space="preserve">уметь </w:t>
      </w:r>
      <w:proofErr w:type="spellStart"/>
      <w:r w:rsidRPr="00673199">
        <w:rPr>
          <w:rFonts w:ascii="Times New Roman" w:hAnsi="Times New Roman" w:cs="Times New Roman"/>
          <w:sz w:val="28"/>
          <w:szCs w:val="28"/>
        </w:rPr>
        <w:t>предслышать</w:t>
      </w:r>
      <w:proofErr w:type="spellEnd"/>
      <w:r w:rsidRPr="00673199">
        <w:rPr>
          <w:rFonts w:ascii="Times New Roman" w:hAnsi="Times New Roman" w:cs="Times New Roman"/>
          <w:sz w:val="28"/>
          <w:szCs w:val="28"/>
        </w:rPr>
        <w:t xml:space="preserve"> требуемый звук внутренним слухом. Также, приводится фактор – свобода мышц плечевого сустава, который </w:t>
      </w:r>
      <w:proofErr w:type="gramStart"/>
      <w:r w:rsidRPr="00673199">
        <w:rPr>
          <w:rFonts w:ascii="Times New Roman" w:hAnsi="Times New Roman" w:cs="Times New Roman"/>
          <w:sz w:val="28"/>
          <w:szCs w:val="28"/>
        </w:rPr>
        <w:t>играет немаловажное значение</w:t>
      </w:r>
      <w:proofErr w:type="gramEnd"/>
      <w:r w:rsidRPr="00673199">
        <w:rPr>
          <w:rFonts w:ascii="Times New Roman" w:hAnsi="Times New Roman" w:cs="Times New Roman"/>
          <w:sz w:val="28"/>
          <w:szCs w:val="28"/>
        </w:rPr>
        <w:t xml:space="preserve"> для исполнителей на струнно-смычковых инструментах. Дело в том, что сама постановка на скрипке или альте, не совсем естественна для физиологии человека, и также игра на контрабасе, например, не совсем подходит для естественной растяжки рук играющего.  Таким образом, с малых лет педагог закладывает у ученика способность играть на инструменте, использую минимальные напряжения в мышцах.</w:t>
      </w:r>
    </w:p>
    <w:p w:rsidR="000B19EA" w:rsidRPr="00673199" w:rsidRDefault="00565D1E" w:rsidP="00E00B0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 xml:space="preserve">Сейчас очень актуальна проблема игры в темперированном строе для струнно-смычковых инструментов. Темперированные инструменты имеют установленный строй и не могут передать всех оттенков и интонаций даже в пределах одного звука, в то же время как струнно-смычковые инструменты обладают такой возможностью. В последние два десятилетия наблюдается тенденция симфонических оркестров и камерных составов к темперации строя, </w:t>
      </w:r>
      <w:proofErr w:type="gramStart"/>
      <w:r w:rsidRPr="0067319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73199">
        <w:rPr>
          <w:rFonts w:ascii="Times New Roman" w:hAnsi="Times New Roman" w:cs="Times New Roman"/>
          <w:sz w:val="28"/>
          <w:szCs w:val="28"/>
        </w:rPr>
        <w:t xml:space="preserve"> создаются оркестры, исполняющие музыку в аутентичной манере, то есть музыканты играют на старинных инструментах, в соответственных темпах, в темперированном строе. Это означает, ч</w:t>
      </w:r>
      <w:r w:rsidR="00E00B0C" w:rsidRPr="00673199">
        <w:rPr>
          <w:rFonts w:ascii="Times New Roman" w:hAnsi="Times New Roman" w:cs="Times New Roman"/>
          <w:sz w:val="28"/>
          <w:szCs w:val="28"/>
        </w:rPr>
        <w:t xml:space="preserve">то </w:t>
      </w:r>
      <w:r w:rsidR="00E00B0C" w:rsidRPr="00673199">
        <w:rPr>
          <w:rFonts w:ascii="Times New Roman" w:hAnsi="Times New Roman" w:cs="Times New Roman"/>
          <w:sz w:val="28"/>
          <w:szCs w:val="28"/>
        </w:rPr>
        <w:lastRenderedPageBreak/>
        <w:t>полутона исполняются одинаков</w:t>
      </w:r>
      <w:r w:rsidRPr="00673199">
        <w:rPr>
          <w:rFonts w:ascii="Times New Roman" w:hAnsi="Times New Roman" w:cs="Times New Roman"/>
          <w:sz w:val="28"/>
          <w:szCs w:val="28"/>
        </w:rPr>
        <w:t>о равномерно по отношению к вышележаще</w:t>
      </w:r>
      <w:r w:rsidR="00E00B0C" w:rsidRPr="00673199">
        <w:rPr>
          <w:rFonts w:ascii="Times New Roman" w:hAnsi="Times New Roman" w:cs="Times New Roman"/>
          <w:sz w:val="28"/>
          <w:szCs w:val="28"/>
        </w:rPr>
        <w:t>му и нижележащему звуку. Соотве</w:t>
      </w:r>
      <w:r w:rsidRPr="00673199">
        <w:rPr>
          <w:rFonts w:ascii="Times New Roman" w:hAnsi="Times New Roman" w:cs="Times New Roman"/>
          <w:sz w:val="28"/>
          <w:szCs w:val="28"/>
        </w:rPr>
        <w:t>т</w:t>
      </w:r>
      <w:r w:rsidR="00E00B0C" w:rsidRPr="00673199">
        <w:rPr>
          <w:rFonts w:ascii="Times New Roman" w:hAnsi="Times New Roman" w:cs="Times New Roman"/>
          <w:sz w:val="28"/>
          <w:szCs w:val="28"/>
        </w:rPr>
        <w:t>ст</w:t>
      </w:r>
      <w:r w:rsidRPr="00673199">
        <w:rPr>
          <w:rFonts w:ascii="Times New Roman" w:hAnsi="Times New Roman" w:cs="Times New Roman"/>
          <w:sz w:val="28"/>
          <w:szCs w:val="28"/>
        </w:rPr>
        <w:t xml:space="preserve">венно репертуарный список произведений для таких составов суживается до исполнения барочной и классической музыки. Вся романтическая музыка исполняется уже в </w:t>
      </w:r>
      <w:proofErr w:type="spellStart"/>
      <w:r w:rsidRPr="00673199">
        <w:rPr>
          <w:rFonts w:ascii="Times New Roman" w:hAnsi="Times New Roman" w:cs="Times New Roman"/>
          <w:sz w:val="28"/>
          <w:szCs w:val="28"/>
        </w:rPr>
        <w:t>нетемперированном</w:t>
      </w:r>
      <w:proofErr w:type="spellEnd"/>
      <w:r w:rsidRPr="00673199">
        <w:rPr>
          <w:rFonts w:ascii="Times New Roman" w:hAnsi="Times New Roman" w:cs="Times New Roman"/>
          <w:sz w:val="28"/>
          <w:szCs w:val="28"/>
        </w:rPr>
        <w:t xml:space="preserve"> строе. </w:t>
      </w:r>
    </w:p>
    <w:p w:rsidR="007E14FA" w:rsidRPr="00673199" w:rsidRDefault="007E14FA" w:rsidP="00E00B0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>В книге Г</w:t>
      </w:r>
      <w:r w:rsidR="008E61B9" w:rsidRPr="00673199">
        <w:rPr>
          <w:rFonts w:ascii="Times New Roman" w:hAnsi="Times New Roman" w:cs="Times New Roman"/>
          <w:sz w:val="28"/>
          <w:szCs w:val="28"/>
        </w:rPr>
        <w:t xml:space="preserve">арбузова «О зонной природе </w:t>
      </w:r>
      <w:r w:rsidR="00E00B0C" w:rsidRPr="00673199">
        <w:rPr>
          <w:rFonts w:ascii="Times New Roman" w:hAnsi="Times New Roman" w:cs="Times New Roman"/>
          <w:sz w:val="28"/>
          <w:szCs w:val="28"/>
        </w:rPr>
        <w:t>и</w:t>
      </w:r>
      <w:r w:rsidR="008E61B9" w:rsidRPr="00673199">
        <w:rPr>
          <w:rFonts w:ascii="Times New Roman" w:hAnsi="Times New Roman" w:cs="Times New Roman"/>
          <w:sz w:val="28"/>
          <w:szCs w:val="28"/>
        </w:rPr>
        <w:t>нто</w:t>
      </w:r>
      <w:r w:rsidR="00E00B0C" w:rsidRPr="00673199">
        <w:rPr>
          <w:rFonts w:ascii="Times New Roman" w:hAnsi="Times New Roman" w:cs="Times New Roman"/>
          <w:sz w:val="28"/>
          <w:szCs w:val="28"/>
        </w:rPr>
        <w:t>н</w:t>
      </w:r>
      <w:r w:rsidR="008E61B9" w:rsidRPr="00673199">
        <w:rPr>
          <w:rFonts w:ascii="Times New Roman" w:hAnsi="Times New Roman" w:cs="Times New Roman"/>
          <w:sz w:val="28"/>
          <w:szCs w:val="28"/>
        </w:rPr>
        <w:t>ирования</w:t>
      </w:r>
      <w:r w:rsidRPr="00673199">
        <w:rPr>
          <w:rFonts w:ascii="Times New Roman" w:hAnsi="Times New Roman" w:cs="Times New Roman"/>
          <w:sz w:val="28"/>
          <w:szCs w:val="28"/>
        </w:rPr>
        <w:t>» говорится, что наш слух может различать до 12-14 разных оттенков</w:t>
      </w:r>
      <w:r w:rsidR="00E00B0C" w:rsidRPr="00673199">
        <w:rPr>
          <w:rFonts w:ascii="Times New Roman" w:hAnsi="Times New Roman" w:cs="Times New Roman"/>
          <w:sz w:val="28"/>
          <w:szCs w:val="28"/>
        </w:rPr>
        <w:t>, звуковых красок</w:t>
      </w:r>
      <w:r w:rsidRPr="00673199">
        <w:rPr>
          <w:rFonts w:ascii="Times New Roman" w:hAnsi="Times New Roman" w:cs="Times New Roman"/>
          <w:sz w:val="28"/>
          <w:szCs w:val="28"/>
        </w:rPr>
        <w:t xml:space="preserve"> в пределах одного звука, причем </w:t>
      </w:r>
      <w:r w:rsidR="0045629C" w:rsidRPr="00673199">
        <w:rPr>
          <w:rFonts w:ascii="Times New Roman" w:hAnsi="Times New Roman" w:cs="Times New Roman"/>
          <w:sz w:val="28"/>
          <w:szCs w:val="28"/>
        </w:rPr>
        <w:t xml:space="preserve">каждый оттенок такого звука является «чистым» с точки зрения интонации. Дело в том, что существует еще понятие как интонирование, которое трактуют как </w:t>
      </w:r>
      <w:r w:rsidR="001F2239" w:rsidRPr="00673199">
        <w:rPr>
          <w:rFonts w:ascii="Times New Roman" w:hAnsi="Times New Roman" w:cs="Times New Roman"/>
          <w:sz w:val="28"/>
          <w:szCs w:val="28"/>
        </w:rPr>
        <w:t xml:space="preserve">особое произношения звуков, имеющее множество оттенков и нюансов, для того, чтобы подчеркнуть или выделить некоторые звуки во фразе. Таким образом, сама музыкальная фраза или музыкальный мотив становятся очень выпуклыми и запоминающимися для слушателей, воспринимающих музыкальное произведение. </w:t>
      </w:r>
    </w:p>
    <w:p w:rsidR="001F2239" w:rsidRPr="00673199" w:rsidRDefault="001F2239" w:rsidP="00E00B0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>Ин</w:t>
      </w:r>
      <w:r w:rsidR="00E00B0C" w:rsidRPr="00673199">
        <w:rPr>
          <w:rFonts w:ascii="Times New Roman" w:hAnsi="Times New Roman" w:cs="Times New Roman"/>
          <w:sz w:val="28"/>
          <w:szCs w:val="28"/>
        </w:rPr>
        <w:t>тересен эпизод, произошедший со Л</w:t>
      </w:r>
      <w:r w:rsidRPr="00673199">
        <w:rPr>
          <w:rFonts w:ascii="Times New Roman" w:hAnsi="Times New Roman" w:cs="Times New Roman"/>
          <w:sz w:val="28"/>
          <w:szCs w:val="28"/>
        </w:rPr>
        <w:t>ьвом Цейтлино</w:t>
      </w:r>
      <w:proofErr w:type="gramStart"/>
      <w:r w:rsidRPr="0067319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73199">
        <w:rPr>
          <w:rFonts w:ascii="Times New Roman" w:hAnsi="Times New Roman" w:cs="Times New Roman"/>
          <w:sz w:val="28"/>
          <w:szCs w:val="28"/>
        </w:rPr>
        <w:t xml:space="preserve"> выдающимся музыкантом, педагогом, воспитавшим целую плеяду скрипачей. «Все началось с того, что Лев Моисеевич заявил: «Ты все это играешь очень фальшиво». </w:t>
      </w:r>
    </w:p>
    <w:p w:rsidR="001F2239" w:rsidRPr="00673199" w:rsidRDefault="001F2239" w:rsidP="000B19EA">
      <w:pPr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>-Какой интервал ты играешь во втором такте?</w:t>
      </w:r>
    </w:p>
    <w:p w:rsidR="001F2239" w:rsidRPr="00673199" w:rsidRDefault="001F2239" w:rsidP="000B19EA">
      <w:pPr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>-Сексту.</w:t>
      </w:r>
    </w:p>
    <w:p w:rsidR="001F2239" w:rsidRPr="00673199" w:rsidRDefault="001F2239" w:rsidP="000B19EA">
      <w:pPr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>-Какую?</w:t>
      </w:r>
    </w:p>
    <w:p w:rsidR="001F2239" w:rsidRPr="00673199" w:rsidRDefault="001F2239" w:rsidP="000B19EA">
      <w:pPr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>-Увеличенную.</w:t>
      </w:r>
    </w:p>
    <w:p w:rsidR="00887680" w:rsidRPr="00673199" w:rsidRDefault="001F2239" w:rsidP="000B19EA">
      <w:pPr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 xml:space="preserve">-Верно. Теоретически это секста, но энгармонически должна звучать септима, которая разрешается в октаву и </w:t>
      </w:r>
      <w:r w:rsidR="00887680" w:rsidRPr="00673199">
        <w:rPr>
          <w:rFonts w:ascii="Times New Roman" w:hAnsi="Times New Roman" w:cs="Times New Roman"/>
          <w:sz w:val="28"/>
          <w:szCs w:val="28"/>
        </w:rPr>
        <w:t>…</w:t>
      </w:r>
      <w:r w:rsidRPr="00673199">
        <w:rPr>
          <w:rFonts w:ascii="Times New Roman" w:hAnsi="Times New Roman" w:cs="Times New Roman"/>
          <w:sz w:val="28"/>
          <w:szCs w:val="28"/>
        </w:rPr>
        <w:t>она должна звучать почти как большая септима. Вот сейчас верно</w:t>
      </w:r>
      <w:r w:rsidR="00A94921" w:rsidRPr="00673199">
        <w:rPr>
          <w:rFonts w:ascii="Times New Roman" w:hAnsi="Times New Roman" w:cs="Times New Roman"/>
          <w:sz w:val="28"/>
          <w:szCs w:val="28"/>
        </w:rPr>
        <w:t>, теперь ты играешь музыку, а не теоретически изображенный интервал. Учти, что мызыка не всегда подчиняется законам темперации, особенно та, что звучит на струнном инструменте</w:t>
      </w:r>
      <w:r w:rsidRPr="00673199">
        <w:rPr>
          <w:rFonts w:ascii="Times New Roman" w:hAnsi="Times New Roman" w:cs="Times New Roman"/>
          <w:sz w:val="28"/>
          <w:szCs w:val="28"/>
        </w:rPr>
        <w:t xml:space="preserve"> »</w:t>
      </w:r>
      <w:r w:rsidR="00A94921" w:rsidRPr="00673199">
        <w:rPr>
          <w:rFonts w:ascii="Times New Roman" w:hAnsi="Times New Roman" w:cs="Times New Roman"/>
          <w:sz w:val="28"/>
          <w:szCs w:val="28"/>
        </w:rPr>
        <w:t xml:space="preserve">. </w:t>
      </w:r>
      <w:r w:rsidRPr="00673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239" w:rsidRPr="00673199" w:rsidRDefault="00A94921" w:rsidP="008876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t xml:space="preserve">Таким образом, в игре на струнно-смычковом инструменте заложена бескрайняя возможность всевозможных интерпретаций музыкальных фраз, 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тончайшего </w:t>
      </w:r>
      <w:r w:rsidRPr="00673199">
        <w:rPr>
          <w:rFonts w:ascii="Times New Roman" w:hAnsi="Times New Roman" w:cs="Times New Roman"/>
          <w:sz w:val="28"/>
          <w:szCs w:val="28"/>
        </w:rPr>
        <w:t>интонирования тех или иных мотивов, это дает повод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 говорить, что струны скрипки </w:t>
      </w:r>
      <w:r w:rsidRPr="00673199">
        <w:rPr>
          <w:rFonts w:ascii="Times New Roman" w:hAnsi="Times New Roman" w:cs="Times New Roman"/>
          <w:sz w:val="28"/>
          <w:szCs w:val="28"/>
        </w:rPr>
        <w:t xml:space="preserve"> способны как никто другой затронуть 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чуткие  </w:t>
      </w:r>
      <w:r w:rsidRPr="00673199">
        <w:rPr>
          <w:rFonts w:ascii="Times New Roman" w:hAnsi="Times New Roman" w:cs="Times New Roman"/>
          <w:sz w:val="28"/>
          <w:szCs w:val="28"/>
        </w:rPr>
        <w:t>струны человеческой души.</w:t>
      </w:r>
    </w:p>
    <w:p w:rsidR="00A94921" w:rsidRPr="00673199" w:rsidRDefault="00A94921" w:rsidP="0088768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73199">
        <w:rPr>
          <w:rFonts w:ascii="Times New Roman" w:hAnsi="Times New Roman" w:cs="Times New Roman"/>
          <w:sz w:val="28"/>
          <w:szCs w:val="28"/>
        </w:rPr>
        <w:lastRenderedPageBreak/>
        <w:t xml:space="preserve">Интересен исполнительский опыт Пабло </w:t>
      </w:r>
      <w:proofErr w:type="spellStart"/>
      <w:r w:rsidRPr="00673199">
        <w:rPr>
          <w:rFonts w:ascii="Times New Roman" w:hAnsi="Times New Roman" w:cs="Times New Roman"/>
          <w:sz w:val="28"/>
          <w:szCs w:val="28"/>
        </w:rPr>
        <w:t>Казаль</w:t>
      </w:r>
      <w:r w:rsidR="00887680" w:rsidRPr="0067319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887680" w:rsidRPr="00673199">
        <w:rPr>
          <w:rFonts w:ascii="Times New Roman" w:hAnsi="Times New Roman" w:cs="Times New Roman"/>
          <w:sz w:val="28"/>
          <w:szCs w:val="28"/>
        </w:rPr>
        <w:t xml:space="preserve">, выдающегося виолончелиста </w:t>
      </w:r>
      <w:r w:rsidR="00887680" w:rsidRPr="0067319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 </w:t>
      </w:r>
      <w:r w:rsidRPr="00673199">
        <w:rPr>
          <w:rFonts w:ascii="Times New Roman" w:hAnsi="Times New Roman" w:cs="Times New Roman"/>
          <w:sz w:val="28"/>
          <w:szCs w:val="28"/>
        </w:rPr>
        <w:t>века. Он говорил, что «…точность интонации должна быть одним из доказательств чуткости инструменталиста». Один из учеников Казальса так характеризует его теорию интнации и интнирования: «Он не довольствуется септимами или вводными тонами, если только гармонические тяготения, ими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 </w:t>
      </w:r>
      <w:r w:rsidRPr="00673199">
        <w:rPr>
          <w:rFonts w:ascii="Times New Roman" w:hAnsi="Times New Roman" w:cs="Times New Roman"/>
          <w:sz w:val="28"/>
          <w:szCs w:val="28"/>
        </w:rPr>
        <w:t>упра</w:t>
      </w:r>
      <w:r w:rsidR="00F75424">
        <w:rPr>
          <w:rFonts w:ascii="Times New Roman" w:hAnsi="Times New Roman" w:cs="Times New Roman"/>
          <w:sz w:val="28"/>
          <w:szCs w:val="28"/>
        </w:rPr>
        <w:t>в</w:t>
      </w:r>
      <w:r w:rsidRPr="00673199">
        <w:rPr>
          <w:rFonts w:ascii="Times New Roman" w:hAnsi="Times New Roman" w:cs="Times New Roman"/>
          <w:sz w:val="28"/>
          <w:szCs w:val="28"/>
        </w:rPr>
        <w:t xml:space="preserve">ляющие, не отклонили их от среднего положения, в котором они кажутся инертными, так что они почти достигают точки своего тяготения». 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 </w:t>
      </w:r>
      <w:r w:rsidRPr="00673199">
        <w:rPr>
          <w:rFonts w:ascii="Times New Roman" w:hAnsi="Times New Roman" w:cs="Times New Roman"/>
          <w:sz w:val="28"/>
          <w:szCs w:val="28"/>
        </w:rPr>
        <w:t>А на вопрос возможно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 ли согласование инструм</w:t>
      </w:r>
      <w:r w:rsidR="00F75424">
        <w:rPr>
          <w:rFonts w:ascii="Times New Roman" w:hAnsi="Times New Roman" w:cs="Times New Roman"/>
          <w:sz w:val="28"/>
          <w:szCs w:val="28"/>
        </w:rPr>
        <w:t>е</w:t>
      </w:r>
      <w:r w:rsidR="00887680" w:rsidRPr="00673199">
        <w:rPr>
          <w:rFonts w:ascii="Times New Roman" w:hAnsi="Times New Roman" w:cs="Times New Roman"/>
          <w:sz w:val="28"/>
          <w:szCs w:val="28"/>
        </w:rPr>
        <w:t>нтов тем</w:t>
      </w:r>
      <w:r w:rsidRPr="00673199">
        <w:rPr>
          <w:rFonts w:ascii="Times New Roman" w:hAnsi="Times New Roman" w:cs="Times New Roman"/>
          <w:sz w:val="28"/>
          <w:szCs w:val="28"/>
        </w:rPr>
        <w:t>перированного строя с выразительной точностью интонации, Казальс отвечает: «Для меня это скорее кажущийся конфликт. В оркестрах, достигших высокого технического совершенства, которые пользуются этой точностью полутонов</w:t>
      </w:r>
      <w:r w:rsidR="00BF09EE" w:rsidRPr="00673199">
        <w:rPr>
          <w:rFonts w:ascii="Times New Roman" w:hAnsi="Times New Roman" w:cs="Times New Roman"/>
          <w:sz w:val="28"/>
          <w:szCs w:val="28"/>
        </w:rPr>
        <w:t>, такой конфликт не возникает; следовательно «союз»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 </w:t>
      </w:r>
      <w:r w:rsidR="00BF09EE" w:rsidRPr="00673199">
        <w:rPr>
          <w:rFonts w:ascii="Times New Roman" w:hAnsi="Times New Roman" w:cs="Times New Roman"/>
          <w:sz w:val="28"/>
          <w:szCs w:val="28"/>
        </w:rPr>
        <w:t>между инструментами темперированного строя и выразительной точностью интонации вполне возможен</w:t>
      </w:r>
      <w:r w:rsidRPr="00673199">
        <w:rPr>
          <w:rFonts w:ascii="Times New Roman" w:hAnsi="Times New Roman" w:cs="Times New Roman"/>
          <w:sz w:val="28"/>
          <w:szCs w:val="28"/>
        </w:rPr>
        <w:t>»</w:t>
      </w:r>
      <w:r w:rsidR="00887680" w:rsidRPr="006731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57D" w:rsidRPr="00673199" w:rsidRDefault="00673199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узыкант-исполнитель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первую очередь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развивать свой слух. Следует сказать, что в большинстве случаев причиной недостаточно четкой интонации является не столько неловкость пальцев, сколько несовершенство критической оценки звука. Основанием для этого является небрежность в воспитании слуха.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С приходом в музыкальную школу ученику хочется скорее научиться играть. Поэтому, учитывая психологию ребенка, работа с инструментом должна быть начата с первых же уроков, сочетая работу над постановкой с </w:t>
      </w:r>
      <w:r w:rsidR="00887680" w:rsidRPr="006731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формированием его музыкальных представлений.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первых же уроков надо вводить ученика в круг музыкальных понятий, постоянно обращать его внимание на различие звуков по высоте и протяженности, различие регистров, направление движения мелодии вверх, вниз или на месте. Таким образом, ученик учится распознавать музыкальные звуки, начиная с одного и доходя до трех, четырех и пяти звуков, причем указывая ладовую окраску </w:t>
      </w:r>
      <w:proofErr w:type="spellStart"/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попевок</w:t>
      </w:r>
      <w:proofErr w:type="spellEnd"/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красные нотки будут указывать на принадлежность к мажору, а синие – минору.</w:t>
      </w:r>
      <w:r w:rsidR="00EC057D" w:rsidRPr="00673199">
        <w:rPr>
          <w:rFonts w:ascii="Times New Roman" w:hAnsi="Times New Roman" w:cs="Times New Roman"/>
          <w:color w:val="000000"/>
          <w:sz w:val="28"/>
          <w:szCs w:val="28"/>
        </w:rPr>
        <w:t xml:space="preserve"> Педагог 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разучивает</w:t>
      </w:r>
      <w:r w:rsidR="00EC057D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учеником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и мелодию песни, поет ее с поддержкой до тех пор, пока не начнет интонировать правильно (если он спел не точно, то надо спеть ее еще раз вместе с преподавателем, а потом опять одному). Необходимо настойчиво добиваться чистого интонирования, особенно при пении мажорного тетрахорда, так как выработка правильного представления о звучании тетрахорда очень важна, ибо он способствует расположению пальцев в первой позиции. Петь лесенки надо наизусть или по нотам, сначала со словами, а затем с названием звуков. Если ученик точно 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интонирует выученную песенку в заданной тональности, можно изменить тональность в пределах его голосовых возмож</w:t>
      </w:r>
      <w:r w:rsidR="00EC057D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ностей.</w:t>
      </w:r>
    </w:p>
    <w:p w:rsidR="00EC057D" w:rsidRPr="00673199" w:rsidRDefault="00EC057D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 из способов развития интонационных представлений – это п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одбирание по слуху</w:t>
      </w: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дну и ту же мелодию можно сыграть от разных звуков. </w:t>
      </w:r>
      <w:r w:rsidR="00461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надо обратить внимание ученика на то, что</w:t>
      </w: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песенка сохранила свою мелодию, приобретя новую окраску. После того, как ученик справился с этим заданием, следует предложить ему сыграть ту же песенку от другого звука. Таким образом, ученик с помощью инструмента расширяет свои внутренние слуховые представления.</w:t>
      </w:r>
      <w:r w:rsidRPr="00673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 по слуху на начальном этапе служит промежуточным звеном между пением песенок, изучением нотной грамоты и аппликатуры. Подобрав песенку по слуху, ученик вместе с преподавателем записывает ее. Таким образом, в представлении ученика нота становится графическим символом реального звука. Тогда во время игры по нотам будут возникать сле</w:t>
      </w:r>
      <w:r w:rsidR="00461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дующие связи: вижу (нота), </w:t>
      </w:r>
      <w:proofErr w:type="spellStart"/>
      <w:r w:rsidR="00461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слышу</w:t>
      </w:r>
      <w:proofErr w:type="spellEnd"/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(музыкально-слуховые представления), играю (игровое движение), слышу и проверяю (последующий слуховой контроль). </w:t>
      </w:r>
    </w:p>
    <w:p w:rsidR="00887680" w:rsidRDefault="00EC057D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подытоживая все вышесказанное, можно сказать, что с </w:t>
      </w:r>
      <w:r w:rsidR="00461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первых уроков необходимо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у ребенка потребность </w:t>
      </w: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тщательном слуховом контроле. При постоянной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над развитием слуховых представлений, ученик получает возможнос</w:t>
      </w:r>
      <w:r w:rsidR="00461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самостоятельно определять не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точные звуки и исправлять их.</w:t>
      </w:r>
      <w:r w:rsidR="00461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тщательнее исправлять их, т</w:t>
      </w:r>
      <w:r w:rsidR="00887680"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тщательнее будет проведена подготовительная работа над развитием музыкально-слуховых представления, тем успешнее и скорее ученик сможет усваивать в дальнейшем более сложный материал.</w:t>
      </w: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данной работе была освещена проблема чистоты интонации</w:t>
      </w:r>
      <w:r w:rsidR="00461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проблема соче</w:t>
      </w: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тания темперированн</w:t>
      </w:r>
      <w:r w:rsidR="00461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7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и нетемперированного строя, а также такой непростой вопрос как интонирование, обладая которым исполнитель способен достичь высочайших высот в своем творчестве.</w:t>
      </w: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887680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662" w:rsidRDefault="00114662" w:rsidP="00114662">
      <w:pPr>
        <w:pStyle w:val="a4"/>
        <w:ind w:left="1440"/>
        <w:rPr>
          <w:sz w:val="32"/>
          <w:szCs w:val="32"/>
        </w:rPr>
      </w:pPr>
      <w:r>
        <w:rPr>
          <w:sz w:val="32"/>
          <w:szCs w:val="32"/>
        </w:rPr>
        <w:t>Литература</w:t>
      </w:r>
    </w:p>
    <w:p w:rsidR="00114662" w:rsidRDefault="00114662" w:rsidP="0011466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Ауэр Л. Моя школа игры на скрипке. - М.: Музыка, 1965. 272с.</w:t>
      </w:r>
    </w:p>
    <w:p w:rsidR="00114662" w:rsidRDefault="00114662" w:rsidP="0011466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Беленький Б., </w:t>
      </w:r>
      <w:proofErr w:type="spellStart"/>
      <w:r>
        <w:rPr>
          <w:sz w:val="32"/>
          <w:szCs w:val="32"/>
        </w:rPr>
        <w:t>Эльбойм</w:t>
      </w:r>
      <w:proofErr w:type="spellEnd"/>
      <w:r>
        <w:rPr>
          <w:sz w:val="32"/>
          <w:szCs w:val="32"/>
        </w:rPr>
        <w:t xml:space="preserve"> Э. Педагогические принципы </w:t>
      </w:r>
      <w:proofErr w:type="spellStart"/>
      <w:r>
        <w:rPr>
          <w:sz w:val="32"/>
          <w:szCs w:val="32"/>
        </w:rPr>
        <w:t>Л.М.Цейтлина</w:t>
      </w:r>
      <w:proofErr w:type="spellEnd"/>
      <w:r>
        <w:rPr>
          <w:sz w:val="32"/>
          <w:szCs w:val="32"/>
        </w:rPr>
        <w:t>.- М.: Музыка, 1990.- 128с.</w:t>
      </w:r>
    </w:p>
    <w:p w:rsidR="00114662" w:rsidRDefault="00114662" w:rsidP="0011466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Гвоздев А. В. Основы исполнительской техники скрипача. – Новосибирск: Новосибирская гос. Консерватори</w:t>
      </w:r>
      <w:proofErr w:type="gramStart"/>
      <w:r>
        <w:rPr>
          <w:sz w:val="32"/>
          <w:szCs w:val="32"/>
        </w:rPr>
        <w:t>я(</w:t>
      </w:r>
      <w:proofErr w:type="gramEnd"/>
      <w:r>
        <w:rPr>
          <w:sz w:val="32"/>
          <w:szCs w:val="32"/>
        </w:rPr>
        <w:t>академия), 2004. – 208с.</w:t>
      </w:r>
    </w:p>
    <w:p w:rsidR="00114662" w:rsidRDefault="00114662" w:rsidP="0011466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Григорьев В. Ю. Исполнитель и эстрада. – Магнитогорск: </w:t>
      </w:r>
      <w:proofErr w:type="spellStart"/>
      <w:r>
        <w:rPr>
          <w:sz w:val="32"/>
          <w:szCs w:val="32"/>
        </w:rPr>
        <w:t>Моск</w:t>
      </w:r>
      <w:proofErr w:type="spellEnd"/>
      <w:r>
        <w:rPr>
          <w:sz w:val="32"/>
          <w:szCs w:val="32"/>
        </w:rPr>
        <w:t>. Консерватория им. П.И. Чайковского, 1998. – 156с.</w:t>
      </w:r>
    </w:p>
    <w:p w:rsidR="00114662" w:rsidRDefault="00114662" w:rsidP="0011466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Григорьев В. Ю. Методика обучения игре на скрипке. – М.: Классика-21, 2007. – 255с.</w:t>
      </w:r>
    </w:p>
    <w:p w:rsidR="00114662" w:rsidRDefault="00114662" w:rsidP="00114662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Раабен</w:t>
      </w:r>
      <w:proofErr w:type="spellEnd"/>
      <w:r>
        <w:rPr>
          <w:sz w:val="32"/>
          <w:szCs w:val="32"/>
        </w:rPr>
        <w:t xml:space="preserve"> Л.Н. </w:t>
      </w:r>
      <w:proofErr w:type="spellStart"/>
      <w:r>
        <w:rPr>
          <w:sz w:val="32"/>
          <w:szCs w:val="32"/>
        </w:rPr>
        <w:t>Л.Ауэр</w:t>
      </w:r>
      <w:proofErr w:type="spellEnd"/>
      <w:r>
        <w:rPr>
          <w:sz w:val="32"/>
          <w:szCs w:val="32"/>
        </w:rPr>
        <w:t>. - М.: Ленинград, 1962.- 178с.</w:t>
      </w:r>
    </w:p>
    <w:p w:rsidR="00114662" w:rsidRPr="00673199" w:rsidRDefault="00114662" w:rsidP="00887680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14662" w:rsidRPr="0067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14059"/>
    <w:multiLevelType w:val="hybridMultilevel"/>
    <w:tmpl w:val="B8900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71"/>
    <w:rsid w:val="00042784"/>
    <w:rsid w:val="000B19EA"/>
    <w:rsid w:val="00114662"/>
    <w:rsid w:val="001F2239"/>
    <w:rsid w:val="0022047E"/>
    <w:rsid w:val="0045629C"/>
    <w:rsid w:val="00461149"/>
    <w:rsid w:val="004F52C1"/>
    <w:rsid w:val="00565D1E"/>
    <w:rsid w:val="00594F99"/>
    <w:rsid w:val="00673199"/>
    <w:rsid w:val="007D5306"/>
    <w:rsid w:val="007E14FA"/>
    <w:rsid w:val="00887680"/>
    <w:rsid w:val="008E61B9"/>
    <w:rsid w:val="008F6364"/>
    <w:rsid w:val="00A452F6"/>
    <w:rsid w:val="00A661AD"/>
    <w:rsid w:val="00A94921"/>
    <w:rsid w:val="00BE7671"/>
    <w:rsid w:val="00BF09EE"/>
    <w:rsid w:val="00CF0F08"/>
    <w:rsid w:val="00D45B80"/>
    <w:rsid w:val="00E00B0C"/>
    <w:rsid w:val="00EC057D"/>
    <w:rsid w:val="00F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7680"/>
    <w:rPr>
      <w:b/>
      <w:bCs/>
    </w:rPr>
  </w:style>
  <w:style w:type="paragraph" w:styleId="a4">
    <w:name w:val="List Paragraph"/>
    <w:basedOn w:val="a"/>
    <w:uiPriority w:val="34"/>
    <w:qFormat/>
    <w:rsid w:val="00114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7680"/>
    <w:rPr>
      <w:b/>
      <w:bCs/>
    </w:rPr>
  </w:style>
  <w:style w:type="paragraph" w:styleId="a4">
    <w:name w:val="List Paragraph"/>
    <w:basedOn w:val="a"/>
    <w:uiPriority w:val="34"/>
    <w:qFormat/>
    <w:rsid w:val="0011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Ануга Радхика</dc:creator>
  <cp:keywords/>
  <dc:description/>
  <cp:lastModifiedBy>Ануга Радхика</cp:lastModifiedBy>
  <cp:revision>19</cp:revision>
  <dcterms:created xsi:type="dcterms:W3CDTF">2019-02-27T10:24:00Z</dcterms:created>
  <dcterms:modified xsi:type="dcterms:W3CDTF">2020-10-25T15:26:00Z</dcterms:modified>
</cp:coreProperties>
</file>