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24" w:rsidRDefault="006A2524" w:rsidP="006A2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6A2524" w:rsidRDefault="006A2524" w:rsidP="006A2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74.</w:t>
      </w:r>
    </w:p>
    <w:tbl>
      <w:tblPr>
        <w:tblpPr w:leftFromText="180" w:rightFromText="180" w:bottomFromText="20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847"/>
        <w:gridCol w:w="2797"/>
        <w:gridCol w:w="986"/>
        <w:gridCol w:w="878"/>
        <w:gridCol w:w="1659"/>
        <w:gridCol w:w="1124"/>
      </w:tblGrid>
      <w:tr w:rsidR="006A2524" w:rsidTr="00AB3373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Урок: 74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6A2524" w:rsidTr="00AB3373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A2524" w:rsidTr="00AB3373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6A2524" w:rsidTr="00AB3373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r>
              <w:rPr>
                <w:rFonts w:ascii="Times New Roman" w:hAnsi="Times New Roman"/>
                <w:b/>
                <w:lang w:val="kk-KZ"/>
              </w:rPr>
              <w:t xml:space="preserve">В контексте сквозной темы </w:t>
            </w:r>
            <w:r>
              <w:rPr>
                <w:b/>
                <w:i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«Искусство».</w:t>
            </w:r>
          </w:p>
        </w:tc>
      </w:tr>
      <w:tr w:rsidR="006A2524" w:rsidTr="00AB3373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Склонение имён существительных по падежам.</w:t>
            </w:r>
          </w:p>
          <w:p w:rsidR="006A2524" w:rsidRDefault="006A2524" w:rsidP="00AB3373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</w:rPr>
              <w:t>Искусство народных мастеров.</w:t>
            </w:r>
          </w:p>
        </w:tc>
      </w:tr>
      <w:tr w:rsidR="006A2524" w:rsidTr="00AB3373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3.1.3.1 - прогнозировать содержание информации на основе заголовка, рисунков/фото/диаграмм</w:t>
            </w:r>
          </w:p>
          <w:p w:rsidR="006A2524" w:rsidRDefault="006A2524" w:rsidP="00AB337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3.3.8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.2 -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определять род, число, падеж имен существительных и правильно употреблять их в речи</w:t>
            </w:r>
          </w:p>
        </w:tc>
      </w:tr>
      <w:tr w:rsidR="006A2524" w:rsidTr="00AB3373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учащихся со склонением имен существительных по падежам</w:t>
            </w:r>
          </w:p>
        </w:tc>
      </w:tr>
      <w:tr w:rsidR="006A2524" w:rsidTr="00AB3373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6A2524" w:rsidTr="00AB3373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A2524" w:rsidTr="00AB3373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Долгожданный дан звонок,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Начинается урок.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Он пойдет ребятам впрок.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Постараюсь все понять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внимательно читать.</w:t>
            </w:r>
          </w:p>
          <w:p w:rsidR="006A2524" w:rsidRDefault="006A2524" w:rsidP="00AB3373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Звуки с буквами пришли</w:t>
            </w:r>
          </w:p>
          <w:p w:rsidR="006A2524" w:rsidRDefault="006A2524" w:rsidP="00AB337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 порядок навели.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6A2524" w:rsidRDefault="006A2524" w:rsidP="00AB3373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6A2524" w:rsidRDefault="006A2524" w:rsidP="00AB3373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 wp14:anchorId="033A2D73" wp14:editId="69EE4434">
                  <wp:extent cx="861060" cy="914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524" w:rsidRDefault="006A2524" w:rsidP="00AB33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BB7E45" wp14:editId="57E805D1">
                  <wp:extent cx="853440" cy="7620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524" w:rsidRDefault="006A2524" w:rsidP="00AB33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3FA5D" wp14:editId="1418C104">
                  <wp:extent cx="853440" cy="61722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Эмоц. настрой</w:t>
            </w:r>
          </w:p>
          <w:p w:rsidR="006A2524" w:rsidRDefault="006A2524" w:rsidP="00AB3373">
            <w:pPr>
              <w:jc w:val="center"/>
            </w:pPr>
          </w:p>
        </w:tc>
      </w:tr>
      <w:tr w:rsidR="006A2524" w:rsidTr="00AB3373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Середи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 урока.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40 мин</w:t>
            </w:r>
          </w:p>
          <w:p w:rsidR="006A2524" w:rsidRDefault="006A2524" w:rsidP="00AB337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Актуализация жизненного опыта.  Целеполагание.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(К,  Г)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Учитель  предлагает  рассмотреть  иллюстрацию  учебника  и прочитать пословицы, определяя тему и основную мысль пословиц.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Родина – всем матерям мать.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Нет в мире краше Родины нашей.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Жить – Родине служить.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Береги Родину, как зеницу ока.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 почитай, о Родине не забывай.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(И) Минутка чистописания: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пословицей – Любовь к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Родине у семейного очага рождается.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пословицей по плану: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Чтение пословицы.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Объяснить значение непонятных слов.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Выяснить смысл пословицы в целом: о чем она и чему учит?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 Подобрать  жизненную  ситуацию,  в  которой  можно  употребить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данную пословицу.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(Д) Видео Казахстан – наша любимая Родина!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(К) Исследовательская деятельность.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 за  изменением  окончания  слова  «Родина».  Дети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записывают вместе с вопросами и словами помощниками, выделяют окончание.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Учащимся устно предлагается сравнить изменение окончаний слова «мама», объяснить, почему Родина дорога человеку, как и мама.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Сообщение темы и целей урока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(К) Чтение и анализ правила из учебника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Изменение  имен  существительных  по  вопросам  называется 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изменение  по  падежам  или  склонением.  В  русском  языке  шесть падежей:  именительный,  родительный,  дательный,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винительный, творительный,  предложный.  При  изменении  по  падежам  (при склонении) изменяются окончания имен существительных.</w:t>
            </w:r>
          </w:p>
          <w:p w:rsidR="006A2524" w:rsidRDefault="006A2524" w:rsidP="00AB3373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(К, И)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рассматривают  таблицу, обращают внимание на название  каждого  падежа,  его  краткое  условное  обозначение, падежные  вопросы  и  слова-помощники.  Устно  приводят  свои примеры, изменяя слово по вопросам. Обращается внимание на то, что  к  одушевленным  существительным  ставятся  вопросы:  кто? кого?  кому?  кем?  о  ком?,  а  неодушевленные  существительные изменяются по вопросам: что? чего? чему? чем? о чем?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(Д, К) Динамическая пауза «Падежи»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Именительный подпрыгнул,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 Родительный летал.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Дательный полез на горку,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 Винительный устал.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Наш Творительный поплавал,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 Предложный убежал.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Падежи нам все нужны –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 при этом все важны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Дети  демонстрируют  свою  внимательность,  повторяют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движения за учителем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Работа над лексической и грамматической темами урока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(К) Чтение текста «Искусство народных мастеров»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Высказывание предположения  об основной мысли  по названию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текста и фотографиям  перед прочтением. Устно определить падеж выделенных слов, используя таблицу в предыдущем упражнении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Мотивированные  дети  могут  рассказать  на  основе  собственных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наблюдений  о  мастерстве  народных  умельцев,  традиционных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ценностях, передаваемых мастерами разных народов.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(Д)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Показ  презентации  о  декоративно-прикладном  искусстве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Казахстана.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(Г)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Учитель  предлагает  по  выбору  учащихся  просклонять  по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падежам любые из слов:  юноша, мастер, конь, украшение, седло, юрта.  Обращает  внимание  детей  на  род  имен  существительных  и одни  и  те  же  вопросы  падежей,  независимо  от  рода существительных. Чтение правила детьми: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Имена  существительные  мужского,  женского  и  среднего  рода  в единственном  и  множественном  числе  отвечают  на  одни  и  те  же падежные вопросы.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(Д, К) Пальчиковая гимнастика «Строим дом»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Туки –  туки молотком,  Стучат кулаками одним по другому.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Строю, строю новый дом.  Ладони располагаются под углом,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Будет он большой, как ель,  кончики пальцев соприкасаются.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Будут окна, будет дверь.  Делают из пальцев «окно» и «дверь».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Всех  в  него  я  поселю:  Хлопают  в  ладоши.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Мышку, зайчика, лису.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«Повар»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Повар готовил обед,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Ребром ладони дети стучат по столу.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 тут отключили свет.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Повар леща берет    Загибают пальцы на левой руке.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 опускает в компот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Бросает в котел поленья,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печку кладет варенье.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Мешает суп кочерыжкой,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Угли бьет поварешкой.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Сахар сыплет в бульон.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 очень доволен он!  Разводят руками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Работа над грамматической темой урока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(П)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Используя подсказки в тексте и памятку,  дети записывают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сначала  пословицу,  в  которой  слово  «дело»  стоит  в  И.п.,  затем остальные  пословицы  и  поговорки,  подписывая  падеж  над существительным.  Определяют  роль  существительного  в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предложениях (главный член или второстепенный), делают вывод и сравнивают с правилом.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Работа с правилом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 именительном  падеже имя существительное является  главным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членом  предложения  и  отвечает  на  вопрос  кто?  или  что?  Форма именительного  падежа  единственного  числа  –  это  начальная форма  существительного:  кто?  мастер;  что?  искусство.  У именительного  падежа  никогда  не  бывает  предлогов.  Во  всех остальных  косвенных  падежах  существительные  могут употребляться с предлогами.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(И)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Списывание  текста  с  пропущенными  буквами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Подчеркивание существительных в именительном падеже.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(П)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Составление  нераспространенных  предложений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Подчеркивание  имен  существительных  в  именительном  падеже.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Распространение  одного  из  предложений  второстепенными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членами. Определение падежа существительных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 рубрике  «Это  интересно»  дети  знакомятся  с  информацией  о падежах в разных языках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Работа в «Рабочей тетради»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Оценка уровня усвоения навыка по теме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spacing w:after="0" w:line="240" w:lineRule="atLeast"/>
              <w:rPr>
                <w:rStyle w:val="c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слушают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6A2524" w:rsidRDefault="006A2524" w:rsidP="00AB3373">
            <w:pPr>
              <w:pStyle w:val="c2"/>
              <w:spacing w:before="0" w:beforeAutospacing="0" w:after="0" w:afterAutospacing="0" w:line="276" w:lineRule="auto"/>
              <w:rPr>
                <w:rStyle w:val="c0"/>
                <w:color w:val="00000A"/>
                <w:sz w:val="22"/>
                <w:szCs w:val="22"/>
              </w:rPr>
            </w:pPr>
          </w:p>
          <w:p w:rsidR="006A2524" w:rsidRDefault="006A2524" w:rsidP="00AB3373">
            <w:pPr>
              <w:pStyle w:val="c2"/>
              <w:spacing w:before="0" w:beforeAutospacing="0" w:after="0" w:afterAutospacing="0" w:line="276" w:lineRule="auto"/>
              <w:rPr>
                <w:rStyle w:val="c0"/>
                <w:color w:val="00000A"/>
                <w:sz w:val="22"/>
                <w:szCs w:val="22"/>
              </w:rPr>
            </w:pPr>
          </w:p>
          <w:p w:rsidR="006A2524" w:rsidRDefault="006A2524" w:rsidP="00AB3373">
            <w:pPr>
              <w:pStyle w:val="c2"/>
              <w:spacing w:before="0" w:beforeAutospacing="0" w:after="0" w:afterAutospacing="0" w:line="276" w:lineRule="auto"/>
              <w:rPr>
                <w:rStyle w:val="c0"/>
                <w:color w:val="00000A"/>
                <w:sz w:val="22"/>
                <w:szCs w:val="22"/>
              </w:rPr>
            </w:pPr>
          </w:p>
          <w:p w:rsidR="006A2524" w:rsidRDefault="006A2524" w:rsidP="00AB3373">
            <w:pPr>
              <w:pStyle w:val="c2"/>
              <w:spacing w:before="0" w:beforeAutospacing="0" w:after="0" w:afterAutospacing="0" w:line="276" w:lineRule="auto"/>
              <w:rPr>
                <w:rStyle w:val="c0"/>
                <w:color w:val="00000A"/>
                <w:sz w:val="22"/>
                <w:szCs w:val="22"/>
              </w:rPr>
            </w:pPr>
          </w:p>
          <w:p w:rsidR="006A2524" w:rsidRDefault="006A2524" w:rsidP="00AB3373">
            <w:pPr>
              <w:pStyle w:val="c2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rPr>
                <w:rFonts w:eastAsiaTheme="minorEastAsia"/>
              </w:rPr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</w:pPr>
            <w:r>
              <w:t>.</w:t>
            </w: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</w:pPr>
            <w:r>
              <w:t>Проводят исследовательскую работу</w:t>
            </w: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A2524" w:rsidRDefault="006A2524" w:rsidP="00AB337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</w:pPr>
          </w:p>
          <w:p w:rsidR="006A2524" w:rsidRDefault="006A2524" w:rsidP="00AB337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</w:pPr>
          </w:p>
          <w:p w:rsidR="006A2524" w:rsidRDefault="006A2524" w:rsidP="00AB337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</w:pPr>
            <w:r>
              <w:t>Работают по теме урока</w:t>
            </w:r>
          </w:p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/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учителем</w:t>
            </w: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лексической темой урока</w:t>
            </w: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учителем</w:t>
            </w: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грамматической темой урока</w:t>
            </w: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изученными орфограммами</w:t>
            </w: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тетрадях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/>
          <w:p w:rsidR="006A2524" w:rsidRDefault="006A2524" w:rsidP="00AB337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</w:pPr>
            <w:r>
              <w:rPr>
                <w:rStyle w:val="7"/>
                <w:rFonts w:ascii="Times New Roman" w:eastAsia="Arial Unicode MS" w:hAnsi="Times New Roman" w:cs="Times New Roman"/>
                <w:b/>
                <w:sz w:val="24"/>
                <w:szCs w:val="24"/>
              </w:rPr>
              <w:t>Тетрадь</w:t>
            </w: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524" w:rsidRDefault="006A2524" w:rsidP="00AB3373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A2524" w:rsidRDefault="006A2524" w:rsidP="00AB3373"/>
        </w:tc>
      </w:tr>
      <w:tr w:rsidR="006A2524" w:rsidTr="00AB3373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40-45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не 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6A2524" w:rsidRDefault="006A2524" w:rsidP="00AB33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B17A6B" wp14:editId="77B204AE">
                  <wp:extent cx="26593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2524" w:rsidRDefault="006A2524" w:rsidP="00AB337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6A2524" w:rsidRDefault="006A2524" w:rsidP="006A2524">
      <w:pPr>
        <w:jc w:val="center"/>
      </w:pPr>
    </w:p>
    <w:p w:rsidR="006A2524" w:rsidRDefault="006A2524" w:rsidP="006A2524"/>
    <w:p w:rsidR="006A2524" w:rsidRDefault="006A2524" w:rsidP="006A2524"/>
    <w:p w:rsidR="00A1399C" w:rsidRDefault="00A1399C">
      <w:bookmarkStart w:id="0" w:name="_GoBack"/>
      <w:bookmarkEnd w:id="0"/>
    </w:p>
    <w:sectPr w:rsidR="00A1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24"/>
    <w:rsid w:val="006A2524"/>
    <w:rsid w:val="00A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C8A5-7926-454B-84C5-164F0B69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524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A2524"/>
  </w:style>
  <w:style w:type="paragraph" w:styleId="a4">
    <w:name w:val="No Spacing"/>
    <w:link w:val="a3"/>
    <w:uiPriority w:val="1"/>
    <w:qFormat/>
    <w:rsid w:val="006A2524"/>
    <w:pPr>
      <w:spacing w:after="0" w:line="240" w:lineRule="auto"/>
    </w:pPr>
  </w:style>
  <w:style w:type="paragraph" w:customStyle="1" w:styleId="AssignmentTemplate">
    <w:name w:val="AssignmentTemplate"/>
    <w:basedOn w:val="9"/>
    <w:qFormat/>
    <w:rsid w:val="006A252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paragraph" w:customStyle="1" w:styleId="Default">
    <w:name w:val="Default"/>
    <w:rsid w:val="006A25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6A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A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+ 7"/>
    <w:aliases w:val="5 pt"/>
    <w:basedOn w:val="a0"/>
    <w:rsid w:val="006A2524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6A2524"/>
  </w:style>
  <w:style w:type="character" w:customStyle="1" w:styleId="90">
    <w:name w:val="Заголовок 9 Знак"/>
    <w:basedOn w:val="a0"/>
    <w:link w:val="9"/>
    <w:uiPriority w:val="9"/>
    <w:semiHidden/>
    <w:rsid w:val="006A25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Климкин</dc:creator>
  <cp:keywords/>
  <dc:description/>
  <cp:lastModifiedBy>Никита Климкин</cp:lastModifiedBy>
  <cp:revision>1</cp:revision>
  <dcterms:created xsi:type="dcterms:W3CDTF">2022-06-29T13:04:00Z</dcterms:created>
  <dcterms:modified xsi:type="dcterms:W3CDTF">2022-06-29T13:04:00Z</dcterms:modified>
</cp:coreProperties>
</file>