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80" w:rsidRDefault="00A06880" w:rsidP="00A06880">
      <w:pPr>
        <w:pStyle w:val="1"/>
      </w:pPr>
      <w:r>
        <w:t xml:space="preserve">Тема:  </w:t>
      </w:r>
      <w:r w:rsidRPr="0098039E">
        <w:t>«</w:t>
      </w:r>
      <w:r w:rsidRPr="0045036A">
        <w:t xml:space="preserve">Организация системы оценки достижения </w:t>
      </w:r>
      <w:proofErr w:type="gramStart"/>
      <w:r w:rsidRPr="0045036A">
        <w:t>обучающимися</w:t>
      </w:r>
      <w:proofErr w:type="gramEnd"/>
      <w:r w:rsidRPr="0045036A">
        <w:t xml:space="preserve"> планируемых результатов освоения основной образовательной программы</w:t>
      </w:r>
      <w:r w:rsidRPr="0098039E">
        <w:t>»</w:t>
      </w:r>
    </w:p>
    <w:p w:rsidR="00A06880" w:rsidRDefault="00A06880" w:rsidP="00A06880">
      <w:pPr>
        <w:spacing w:line="360" w:lineRule="auto"/>
        <w:ind w:firstLine="709"/>
      </w:pPr>
    </w:p>
    <w:p w:rsidR="00A06880" w:rsidRDefault="00A06880" w:rsidP="00A06880">
      <w:pPr>
        <w:spacing w:line="360" w:lineRule="auto"/>
        <w:ind w:firstLine="709"/>
      </w:pPr>
      <w:r>
        <w:t>Одним из критериев готовности работы образовательной организации в соответствии с требованиями ГОСО РК общего образования является создание и развитие системы оценивания достижения обучающимися планируемых результатов освоения основной образовательной программы (ООП).</w:t>
      </w:r>
    </w:p>
    <w:p w:rsidR="00A06880" w:rsidRDefault="00A06880" w:rsidP="00A06880">
      <w:pPr>
        <w:spacing w:line="360" w:lineRule="auto"/>
        <w:ind w:firstLine="709"/>
      </w:pPr>
      <w:r>
        <w:t>Вышеназванная система реализуется на следующих уровнях: на уровне образовательной организации, уровне методических объединений (кафедр), уровне учебных дисциплин; уровне взаимодействия педагога и обучающегося, субъектно-личностном уровне.</w:t>
      </w:r>
    </w:p>
    <w:p w:rsidR="00A06880" w:rsidRPr="00F10ADD" w:rsidRDefault="00A06880" w:rsidP="00A06880">
      <w:pPr>
        <w:spacing w:line="360" w:lineRule="auto"/>
        <w:ind w:firstLine="709"/>
      </w:pPr>
      <w:proofErr w:type="gramStart"/>
      <w:r>
        <w:t>Так, на уровне образовательной организации проектирование системы оценивания достижения обучающимися планируемых результатов освоения основной образовательной программы предусматривает определение миссии оценивания, разработку локальных нормативных документов, регламентирующих систему оценивания достижения обучающимися планируемых результатов освоения ООП (положение о промежуточной (текущей, итоговой) аттестации обучающихся, положение о накопительной системе оценивания индивидуальных достижений обучающихся, положение об итоговом индивидуальном проекте, положение о внутренней системе оценки качества образования</w:t>
      </w:r>
      <w:proofErr w:type="gramEnd"/>
      <w:r>
        <w:t xml:space="preserve"> и др.), технологических к</w:t>
      </w:r>
      <w:r w:rsidR="00F10ADD">
        <w:t>арт мониторинговых исследований</w:t>
      </w:r>
      <w:r w:rsidR="00F10ADD" w:rsidRPr="00F10ADD">
        <w:t xml:space="preserve"> [1]</w:t>
      </w:r>
      <w:r w:rsidR="00F10ADD">
        <w:t>.</w:t>
      </w:r>
    </w:p>
    <w:p w:rsidR="00A06880" w:rsidRDefault="00A06880" w:rsidP="00A06880">
      <w:pPr>
        <w:spacing w:line="360" w:lineRule="auto"/>
        <w:ind w:firstLine="709"/>
      </w:pPr>
      <w:r>
        <w:t xml:space="preserve">На данном уровне важным аспектом является адаптация или разработка критериев и показателей для оценки деятельности педагогических работников и образовательной организации в целом. На основе разработанных критериев осуществляется оценивание деятельности педагогических работников и образовательной организации в рамках </w:t>
      </w:r>
      <w:proofErr w:type="spellStart"/>
      <w:r>
        <w:t>внутришкольного</w:t>
      </w:r>
      <w:proofErr w:type="spellEnd"/>
      <w:r>
        <w:t xml:space="preserve"> контроля.</w:t>
      </w:r>
    </w:p>
    <w:p w:rsidR="00A06880" w:rsidRDefault="00A06880" w:rsidP="00A06880">
      <w:pPr>
        <w:spacing w:line="360" w:lineRule="auto"/>
        <w:ind w:firstLine="709"/>
      </w:pPr>
      <w:r>
        <w:lastRenderedPageBreak/>
        <w:t xml:space="preserve">На уровне методических объединений (кафедр) проектирование системы оценивания достижения </w:t>
      </w:r>
      <w:proofErr w:type="gramStart"/>
      <w:r>
        <w:t>обучающимися</w:t>
      </w:r>
      <w:proofErr w:type="gramEnd"/>
      <w:r>
        <w:t xml:space="preserve"> планируемых результатов освоения ООП включает:</w:t>
      </w:r>
    </w:p>
    <w:p w:rsidR="00A06880" w:rsidRDefault="00A06880" w:rsidP="00A06880">
      <w:pPr>
        <w:pStyle w:val="a3"/>
        <w:numPr>
          <w:ilvl w:val="0"/>
          <w:numId w:val="1"/>
        </w:numPr>
        <w:tabs>
          <w:tab w:val="left" w:pos="993"/>
        </w:tabs>
        <w:spacing w:line="360" w:lineRule="auto"/>
        <w:ind w:left="0" w:firstLine="709"/>
      </w:pPr>
      <w:r>
        <w:t xml:space="preserve">участие в разработке технологических карт </w:t>
      </w:r>
      <w:proofErr w:type="spellStart"/>
      <w:r>
        <w:t>внутришкольного</w:t>
      </w:r>
      <w:proofErr w:type="spellEnd"/>
      <w:r>
        <w:t xml:space="preserve"> мониторинга образовательных достижений обучающихся;</w:t>
      </w:r>
    </w:p>
    <w:p w:rsidR="00A06880" w:rsidRDefault="00A06880" w:rsidP="00A06880">
      <w:pPr>
        <w:pStyle w:val="a3"/>
        <w:numPr>
          <w:ilvl w:val="0"/>
          <w:numId w:val="1"/>
        </w:numPr>
        <w:tabs>
          <w:tab w:val="left" w:pos="993"/>
        </w:tabs>
        <w:spacing w:line="360" w:lineRule="auto"/>
        <w:ind w:left="0" w:firstLine="709"/>
      </w:pPr>
      <w:r>
        <w:t xml:space="preserve">описание организации и проведения </w:t>
      </w:r>
      <w:proofErr w:type="spellStart"/>
      <w:r>
        <w:t>внутришкольного</w:t>
      </w:r>
      <w:proofErr w:type="spellEnd"/>
      <w:r>
        <w:t xml:space="preserve"> мониторинга индивидуальных образовательных достижений обучающихся, основными составляющими которого являются материалы стартовой диагностики и материалы, фиксирующие текущие и промежуточные учебные и личностные достижения;</w:t>
      </w:r>
    </w:p>
    <w:p w:rsidR="00A06880" w:rsidRDefault="00A06880" w:rsidP="00A06880">
      <w:pPr>
        <w:pStyle w:val="a3"/>
        <w:numPr>
          <w:ilvl w:val="0"/>
          <w:numId w:val="1"/>
        </w:numPr>
        <w:tabs>
          <w:tab w:val="left" w:pos="993"/>
        </w:tabs>
        <w:spacing w:line="360" w:lineRule="auto"/>
        <w:ind w:left="0" w:firstLine="709"/>
      </w:pPr>
      <w:r>
        <w:t xml:space="preserve">адаптацию инструментария для итоговой оценки достижения планируемых результатов, разработанного на государственном уровне, в целях организации: оценки достижения планируемых результатов в рамках текущего и тематического контроля; промежуточной аттестации (системы </w:t>
      </w:r>
      <w:proofErr w:type="spellStart"/>
      <w:r>
        <w:t>внутришкольного</w:t>
      </w:r>
      <w:proofErr w:type="spellEnd"/>
      <w:r>
        <w:t xml:space="preserve"> мониторинга); итоговой аттестации по предметам, не выносимым на государственную итоговую аттестацию;</w:t>
      </w:r>
    </w:p>
    <w:p w:rsidR="00A06880" w:rsidRDefault="00A06880" w:rsidP="00A06880">
      <w:pPr>
        <w:pStyle w:val="a3"/>
        <w:numPr>
          <w:ilvl w:val="0"/>
          <w:numId w:val="1"/>
        </w:numPr>
        <w:tabs>
          <w:tab w:val="left" w:pos="993"/>
        </w:tabs>
        <w:spacing w:line="360" w:lineRule="auto"/>
        <w:ind w:left="0" w:firstLine="709"/>
      </w:pPr>
      <w:r>
        <w:t>адаптацию (при необходимости разработку) инструментария для итоговой оценки достижения планируемых результатов по предметам и/или междисциплинарным программам, вводимым образовательной организацией;</w:t>
      </w:r>
    </w:p>
    <w:p w:rsidR="00A06880" w:rsidRDefault="00A06880" w:rsidP="00A06880">
      <w:pPr>
        <w:pStyle w:val="a3"/>
        <w:numPr>
          <w:ilvl w:val="0"/>
          <w:numId w:val="1"/>
        </w:numPr>
        <w:tabs>
          <w:tab w:val="left" w:pos="993"/>
        </w:tabs>
        <w:spacing w:line="360" w:lineRule="auto"/>
        <w:ind w:left="0" w:firstLine="709"/>
      </w:pPr>
      <w:r>
        <w:t xml:space="preserve">описание оценки проектной деятельности </w:t>
      </w:r>
      <w:proofErr w:type="gramStart"/>
      <w:r>
        <w:t>обучающихся</w:t>
      </w:r>
      <w:proofErr w:type="gramEnd"/>
      <w:r>
        <w:t>;</w:t>
      </w:r>
    </w:p>
    <w:p w:rsidR="00A06880" w:rsidRDefault="00A06880" w:rsidP="00A06880">
      <w:pPr>
        <w:pStyle w:val="a3"/>
        <w:numPr>
          <w:ilvl w:val="0"/>
          <w:numId w:val="1"/>
        </w:numPr>
        <w:tabs>
          <w:tab w:val="left" w:pos="993"/>
        </w:tabs>
        <w:spacing w:line="360" w:lineRule="auto"/>
        <w:ind w:left="0" w:firstLine="709"/>
      </w:pPr>
      <w:r>
        <w:t>описание особенностей использования «портфеля достижений ученика»;</w:t>
      </w:r>
    </w:p>
    <w:p w:rsidR="00A06880" w:rsidRDefault="00A06880" w:rsidP="00A06880">
      <w:pPr>
        <w:pStyle w:val="a3"/>
        <w:numPr>
          <w:ilvl w:val="0"/>
          <w:numId w:val="1"/>
        </w:numPr>
        <w:tabs>
          <w:tab w:val="left" w:pos="993"/>
        </w:tabs>
        <w:spacing w:line="360" w:lineRule="auto"/>
        <w:ind w:left="0" w:firstLine="709"/>
      </w:pPr>
      <w:r>
        <w:t>разработку программы формирования планируемых результатов осво</w:t>
      </w:r>
      <w:r w:rsidR="00F10ADD">
        <w:t xml:space="preserve">ения междисциплинарных программ </w:t>
      </w:r>
      <w:r w:rsidR="00F10ADD" w:rsidRPr="00F10ADD">
        <w:t>[</w:t>
      </w:r>
      <w:r w:rsidR="00F10ADD">
        <w:t>2</w:t>
      </w:r>
      <w:r w:rsidR="00F10ADD" w:rsidRPr="00F10ADD">
        <w:t>]</w:t>
      </w:r>
      <w:r w:rsidR="00F10ADD">
        <w:t>.</w:t>
      </w:r>
    </w:p>
    <w:p w:rsidR="00A06880" w:rsidRDefault="00A06880" w:rsidP="00A06880">
      <w:pPr>
        <w:spacing w:line="360" w:lineRule="auto"/>
        <w:ind w:firstLine="709"/>
      </w:pPr>
      <w:r>
        <w:t xml:space="preserve">На уровне учебной дисциплины система оценивания достижения обучающимися планируемых результатов освоения основной образовательной программы представлена системой деятельности по оценке личностных, предметных и </w:t>
      </w:r>
      <w:proofErr w:type="spellStart"/>
      <w:r>
        <w:t>метапредментных</w:t>
      </w:r>
      <w:proofErr w:type="spellEnd"/>
      <w:r>
        <w:t xml:space="preserve"> результатов, созданию комплексов оценочных средств, включающих стандартизированные и </w:t>
      </w:r>
      <w:proofErr w:type="spellStart"/>
      <w:r>
        <w:lastRenderedPageBreak/>
        <w:t>нестандартизированные</w:t>
      </w:r>
      <w:proofErr w:type="spellEnd"/>
      <w:r>
        <w:t xml:space="preserve"> методы оценивания, разработке технологических карт учебных дисциплин, качество кото</w:t>
      </w:r>
      <w:r w:rsidR="00F10ADD">
        <w:t xml:space="preserve">рых подлежит оцениванию </w:t>
      </w:r>
      <w:r w:rsidR="00F10ADD" w:rsidRPr="00F10ADD">
        <w:t>[</w:t>
      </w:r>
      <w:r w:rsidR="00F10ADD">
        <w:t>3</w:t>
      </w:r>
      <w:r w:rsidR="00F10ADD" w:rsidRPr="00F10ADD">
        <w:t>]</w:t>
      </w:r>
      <w:r w:rsidR="00F10ADD">
        <w:t>.</w:t>
      </w:r>
    </w:p>
    <w:p w:rsidR="00A06880" w:rsidRDefault="00A06880" w:rsidP="00A06880">
      <w:pPr>
        <w:spacing w:line="360" w:lineRule="auto"/>
        <w:ind w:firstLine="709"/>
      </w:pPr>
      <w:r>
        <w:t>Для оценивания динамики формирования предметных результатов целесообразно использовать материалы 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w:t>
      </w:r>
    </w:p>
    <w:p w:rsidR="008F41A7" w:rsidRDefault="00A06880" w:rsidP="00A06880">
      <w:pPr>
        <w:spacing w:line="360" w:lineRule="auto"/>
        <w:ind w:firstLine="709"/>
      </w:pPr>
      <w:proofErr w:type="gramStart"/>
      <w:r>
        <w:t>Таким образом, ГОСО РК общего образования предъявляет требования пересмотра руководителем образовательной организации, педагогическими работниками устоявшихся подходов, стереотипов к системе оценивания достижения обучающимися планируемых результатов освоения основной образовательной программы и принять то, что регулярное оценивание осуществляется не ради контроля, а ради выявления, измерения, исследования, диагностирования динамики развития системы, управление качеством образования, а также для совершенствования образовательного процесса.</w:t>
      </w:r>
      <w:proofErr w:type="gramEnd"/>
      <w:r>
        <w:t xml:space="preserve"> Именно положительная динамика образовательных достижений – важнейшее основание для принятия решения об эффективности образовательного процесса, работы педагога или образовательной организации в целом</w:t>
      </w:r>
      <w:bookmarkStart w:id="0" w:name="_GoBack"/>
      <w:bookmarkEnd w:id="0"/>
      <w:r w:rsidR="00F10ADD" w:rsidRPr="00F10ADD">
        <w:t xml:space="preserve"> </w:t>
      </w:r>
      <w:r w:rsidR="00F10ADD" w:rsidRPr="00F10ADD">
        <w:t>[</w:t>
      </w:r>
      <w:r w:rsidR="00F10ADD">
        <w:t>5</w:t>
      </w:r>
      <w:r w:rsidR="00F10ADD" w:rsidRPr="00F10ADD">
        <w:t>]</w:t>
      </w:r>
      <w:r w:rsidR="00F10ADD">
        <w:t>.</w:t>
      </w:r>
    </w:p>
    <w:p w:rsidR="00F10ADD" w:rsidRDefault="00F10ADD" w:rsidP="00F10ADD">
      <w:pPr>
        <w:ind w:firstLine="709"/>
        <w:rPr>
          <w:szCs w:val="28"/>
        </w:rPr>
      </w:pPr>
      <w:r>
        <w:rPr>
          <w:szCs w:val="28"/>
        </w:rPr>
        <w:t>Список литературы:</w:t>
      </w:r>
    </w:p>
    <w:p w:rsidR="00F10ADD" w:rsidRDefault="00F10ADD" w:rsidP="00F10ADD">
      <w:pPr>
        <w:ind w:firstLine="709"/>
        <w:rPr>
          <w:szCs w:val="28"/>
        </w:rPr>
      </w:pPr>
    </w:p>
    <w:p w:rsidR="00F10ADD" w:rsidRPr="00301E16" w:rsidRDefault="00F10ADD" w:rsidP="00F10ADD">
      <w:pPr>
        <w:pStyle w:val="a3"/>
        <w:tabs>
          <w:tab w:val="left" w:pos="1134"/>
        </w:tabs>
        <w:spacing w:line="360" w:lineRule="auto"/>
        <w:ind w:left="142" w:firstLine="709"/>
        <w:rPr>
          <w:szCs w:val="28"/>
        </w:rPr>
      </w:pPr>
      <w:r>
        <w:rPr>
          <w:szCs w:val="28"/>
        </w:rPr>
        <w:t>1</w:t>
      </w:r>
      <w:r>
        <w:rPr>
          <w:szCs w:val="28"/>
        </w:rPr>
        <w:t>.</w:t>
      </w:r>
      <w:r w:rsidRPr="00301E16">
        <w:rPr>
          <w:szCs w:val="28"/>
        </w:rPr>
        <w:t xml:space="preserve">Система </w:t>
      </w:r>
      <w:proofErr w:type="spellStart"/>
      <w:r w:rsidRPr="00301E16">
        <w:rPr>
          <w:szCs w:val="28"/>
        </w:rPr>
        <w:t>критериального</w:t>
      </w:r>
      <w:proofErr w:type="spellEnd"/>
      <w:r w:rsidRPr="00301E16">
        <w:rPr>
          <w:szCs w:val="28"/>
        </w:rPr>
        <w:t xml:space="preserve"> оценивания учебных достижений учащихся. Методическое пособие. – Астана: Национальная академия образования им. И. </w:t>
      </w:r>
      <w:proofErr w:type="spellStart"/>
      <w:r w:rsidRPr="00301E16">
        <w:rPr>
          <w:szCs w:val="28"/>
        </w:rPr>
        <w:t>Алтынсарина</w:t>
      </w:r>
      <w:proofErr w:type="spellEnd"/>
      <w:r w:rsidRPr="00301E16">
        <w:rPr>
          <w:szCs w:val="28"/>
        </w:rPr>
        <w:t>, 2013. – 80 с.</w:t>
      </w:r>
    </w:p>
    <w:p w:rsidR="00F10ADD" w:rsidRDefault="00F10ADD" w:rsidP="00F10ADD">
      <w:pPr>
        <w:tabs>
          <w:tab w:val="left" w:pos="1134"/>
          <w:tab w:val="left" w:pos="1519"/>
        </w:tabs>
        <w:spacing w:line="360" w:lineRule="auto"/>
        <w:ind w:left="142" w:right="20" w:firstLine="709"/>
        <w:rPr>
          <w:szCs w:val="28"/>
        </w:rPr>
      </w:pPr>
      <w:r>
        <w:rPr>
          <w:szCs w:val="28"/>
        </w:rPr>
        <w:t>2</w:t>
      </w:r>
      <w:r>
        <w:rPr>
          <w:szCs w:val="28"/>
        </w:rPr>
        <w:t>.</w:t>
      </w:r>
      <w:r w:rsidRPr="00301E16">
        <w:rPr>
          <w:szCs w:val="28"/>
        </w:rPr>
        <w:t>Государственная программа развития образования Республики Казахстан на 2011-2020 годы. Указ Президента Республики Казахстан от 7 декабря 2010 года № 1118.</w:t>
      </w:r>
    </w:p>
    <w:p w:rsidR="00F10ADD" w:rsidRDefault="00F10ADD" w:rsidP="00F10ADD">
      <w:pPr>
        <w:pStyle w:val="a6"/>
        <w:tabs>
          <w:tab w:val="left" w:pos="1134"/>
        </w:tabs>
        <w:spacing w:line="360" w:lineRule="auto"/>
        <w:ind w:firstLine="709"/>
        <w:jc w:val="both"/>
        <w:rPr>
          <w:color w:val="000000"/>
          <w:sz w:val="28"/>
          <w:szCs w:val="28"/>
        </w:rPr>
      </w:pPr>
      <w:r>
        <w:rPr>
          <w:sz w:val="28"/>
          <w:szCs w:val="28"/>
        </w:rPr>
        <w:t>3</w:t>
      </w:r>
      <w:r>
        <w:rPr>
          <w:sz w:val="28"/>
          <w:szCs w:val="28"/>
        </w:rPr>
        <w:t xml:space="preserve">.Информационно – педагогический журнал </w:t>
      </w:r>
      <w:r w:rsidRPr="00301E16">
        <w:rPr>
          <w:sz w:val="28"/>
          <w:szCs w:val="28"/>
        </w:rPr>
        <w:t xml:space="preserve">Учредитель и издатель: Центр педагогического мастерства АОО «Назарбаев Интеллектуальные школы» (Казахстан) при сотрудничестве с Факультетом образования Кембриджского университета (Великобритания) </w:t>
      </w:r>
      <w:r w:rsidRPr="00301E16">
        <w:rPr>
          <w:color w:val="000000"/>
          <w:sz w:val="28"/>
          <w:szCs w:val="28"/>
        </w:rPr>
        <w:t>№ 2 2014 г.</w:t>
      </w:r>
    </w:p>
    <w:p w:rsidR="00F10ADD" w:rsidRPr="00292C58" w:rsidRDefault="00F10ADD" w:rsidP="00F10ADD">
      <w:pPr>
        <w:widowControl w:val="0"/>
        <w:tabs>
          <w:tab w:val="left" w:pos="360"/>
          <w:tab w:val="left" w:pos="1134"/>
        </w:tabs>
        <w:snapToGrid w:val="0"/>
        <w:spacing w:line="360" w:lineRule="auto"/>
        <w:ind w:firstLine="709"/>
        <w:rPr>
          <w:szCs w:val="28"/>
          <w:lang w:val="kk-KZ"/>
        </w:rPr>
      </w:pPr>
      <w:r>
        <w:rPr>
          <w:szCs w:val="28"/>
        </w:rPr>
        <w:lastRenderedPageBreak/>
        <w:t>4</w:t>
      </w:r>
      <w:r>
        <w:rPr>
          <w:szCs w:val="28"/>
        </w:rPr>
        <w:t>.</w:t>
      </w:r>
      <w:r w:rsidRPr="00292C58">
        <w:rPr>
          <w:szCs w:val="28"/>
          <w:lang w:val="kk-KZ"/>
        </w:rPr>
        <w:t xml:space="preserve">Методические рекомендации в помощь учителям 5-х классов  по проведению суммативного оценивания достижения обучающихся  – Астана: НАО    имени И. Алтынсарина, 2017. – 85 с. </w:t>
      </w:r>
    </w:p>
    <w:p w:rsidR="00F10ADD" w:rsidRPr="00301E16" w:rsidRDefault="00F10ADD" w:rsidP="00F10ADD">
      <w:pPr>
        <w:pStyle w:val="a6"/>
        <w:shd w:val="clear" w:color="auto" w:fill="FFFFFF"/>
        <w:tabs>
          <w:tab w:val="left" w:pos="1134"/>
        </w:tabs>
        <w:spacing w:line="360" w:lineRule="auto"/>
        <w:ind w:firstLine="709"/>
        <w:jc w:val="both"/>
        <w:rPr>
          <w:sz w:val="28"/>
          <w:szCs w:val="28"/>
        </w:rPr>
      </w:pPr>
      <w:r>
        <w:rPr>
          <w:sz w:val="28"/>
          <w:szCs w:val="28"/>
          <w:lang w:val="kk-KZ"/>
        </w:rPr>
        <w:t>5</w:t>
      </w:r>
      <w:r>
        <w:rPr>
          <w:sz w:val="28"/>
          <w:szCs w:val="28"/>
          <w:lang w:val="kk-KZ"/>
        </w:rPr>
        <w:t xml:space="preserve">. </w:t>
      </w:r>
      <w:r w:rsidRPr="00301E16">
        <w:rPr>
          <w:sz w:val="28"/>
          <w:szCs w:val="28"/>
        </w:rPr>
        <w:t xml:space="preserve">Система </w:t>
      </w:r>
      <w:proofErr w:type="spellStart"/>
      <w:r w:rsidRPr="00301E16">
        <w:rPr>
          <w:sz w:val="28"/>
          <w:szCs w:val="28"/>
        </w:rPr>
        <w:t>критериального</w:t>
      </w:r>
      <w:proofErr w:type="spellEnd"/>
      <w:r w:rsidRPr="00301E16">
        <w:rPr>
          <w:sz w:val="28"/>
          <w:szCs w:val="28"/>
        </w:rPr>
        <w:t xml:space="preserve"> оценивания учебных достижений учащихся. Методическое пособие. – Астана: Национальная академия образования им. И. </w:t>
      </w:r>
      <w:proofErr w:type="spellStart"/>
      <w:r w:rsidRPr="00301E16">
        <w:rPr>
          <w:sz w:val="28"/>
          <w:szCs w:val="28"/>
        </w:rPr>
        <w:t>Алтынсарина</w:t>
      </w:r>
      <w:proofErr w:type="spellEnd"/>
      <w:r w:rsidRPr="00301E16">
        <w:rPr>
          <w:sz w:val="28"/>
          <w:szCs w:val="28"/>
        </w:rPr>
        <w:t>, 2013. – 80 с.</w:t>
      </w:r>
    </w:p>
    <w:p w:rsidR="00F10ADD" w:rsidRPr="00301E16" w:rsidRDefault="00F10ADD" w:rsidP="00F10ADD">
      <w:pPr>
        <w:pStyle w:val="a6"/>
        <w:tabs>
          <w:tab w:val="left" w:pos="1134"/>
        </w:tabs>
        <w:spacing w:line="360" w:lineRule="auto"/>
        <w:ind w:firstLine="709"/>
        <w:jc w:val="both"/>
        <w:rPr>
          <w:sz w:val="28"/>
          <w:szCs w:val="28"/>
        </w:rPr>
      </w:pPr>
    </w:p>
    <w:p w:rsidR="00F10ADD" w:rsidRDefault="00F10ADD" w:rsidP="00A06880">
      <w:pPr>
        <w:spacing w:line="360" w:lineRule="auto"/>
        <w:ind w:firstLine="709"/>
      </w:pPr>
    </w:p>
    <w:sectPr w:rsidR="00F10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65F48"/>
    <w:multiLevelType w:val="hybridMultilevel"/>
    <w:tmpl w:val="C25A6DF0"/>
    <w:lvl w:ilvl="0" w:tplc="D642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80"/>
    <w:rsid w:val="008F41A7"/>
    <w:rsid w:val="00A06880"/>
    <w:rsid w:val="00F10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80"/>
    <w:pPr>
      <w:spacing w:after="0" w:line="240" w:lineRule="auto"/>
      <w:jc w:val="both"/>
    </w:pPr>
    <w:rPr>
      <w:rFonts w:ascii="Times New Roman" w:hAnsi="Times New Roman"/>
      <w:sz w:val="28"/>
    </w:rPr>
  </w:style>
  <w:style w:type="paragraph" w:styleId="1">
    <w:name w:val="heading 1"/>
    <w:basedOn w:val="a"/>
    <w:next w:val="a"/>
    <w:link w:val="10"/>
    <w:uiPriority w:val="9"/>
    <w:qFormat/>
    <w:rsid w:val="00A06880"/>
    <w:pPr>
      <w:spacing w:line="360" w:lineRule="auto"/>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880"/>
    <w:rPr>
      <w:rFonts w:ascii="Times New Roman" w:hAnsi="Times New Roman"/>
      <w:sz w:val="28"/>
    </w:rPr>
  </w:style>
  <w:style w:type="paragraph" w:styleId="a3">
    <w:name w:val="List Paragraph"/>
    <w:basedOn w:val="a"/>
    <w:uiPriority w:val="34"/>
    <w:qFormat/>
    <w:rsid w:val="00A06880"/>
    <w:pPr>
      <w:ind w:left="720"/>
      <w:contextualSpacing/>
    </w:pPr>
  </w:style>
  <w:style w:type="paragraph" w:styleId="a4">
    <w:name w:val="No Spacing"/>
    <w:link w:val="a5"/>
    <w:uiPriority w:val="1"/>
    <w:qFormat/>
    <w:rsid w:val="00F10ADD"/>
    <w:pPr>
      <w:spacing w:after="0" w:line="240" w:lineRule="auto"/>
    </w:pPr>
    <w:rPr>
      <w:rFonts w:ascii="Calibri" w:eastAsia="Calibri" w:hAnsi="Calibri" w:cs="Times New Roman"/>
    </w:rPr>
  </w:style>
  <w:style w:type="paragraph" w:styleId="a6">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qFormat/>
    <w:rsid w:val="00F10ADD"/>
    <w:pPr>
      <w:spacing w:before="100" w:beforeAutospacing="1" w:after="100" w:afterAutospacing="1"/>
      <w:jc w:val="left"/>
    </w:pPr>
    <w:rPr>
      <w:rFonts w:eastAsia="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6"/>
    <w:uiPriority w:val="99"/>
    <w:locked/>
    <w:rsid w:val="00F10ADD"/>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F10A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80"/>
    <w:pPr>
      <w:spacing w:after="0" w:line="240" w:lineRule="auto"/>
      <w:jc w:val="both"/>
    </w:pPr>
    <w:rPr>
      <w:rFonts w:ascii="Times New Roman" w:hAnsi="Times New Roman"/>
      <w:sz w:val="28"/>
    </w:rPr>
  </w:style>
  <w:style w:type="paragraph" w:styleId="1">
    <w:name w:val="heading 1"/>
    <w:basedOn w:val="a"/>
    <w:next w:val="a"/>
    <w:link w:val="10"/>
    <w:uiPriority w:val="9"/>
    <w:qFormat/>
    <w:rsid w:val="00A06880"/>
    <w:pPr>
      <w:spacing w:line="360" w:lineRule="auto"/>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880"/>
    <w:rPr>
      <w:rFonts w:ascii="Times New Roman" w:hAnsi="Times New Roman"/>
      <w:sz w:val="28"/>
    </w:rPr>
  </w:style>
  <w:style w:type="paragraph" w:styleId="a3">
    <w:name w:val="List Paragraph"/>
    <w:basedOn w:val="a"/>
    <w:uiPriority w:val="34"/>
    <w:qFormat/>
    <w:rsid w:val="00A06880"/>
    <w:pPr>
      <w:ind w:left="720"/>
      <w:contextualSpacing/>
    </w:pPr>
  </w:style>
  <w:style w:type="paragraph" w:styleId="a4">
    <w:name w:val="No Spacing"/>
    <w:link w:val="a5"/>
    <w:uiPriority w:val="1"/>
    <w:qFormat/>
    <w:rsid w:val="00F10ADD"/>
    <w:pPr>
      <w:spacing w:after="0" w:line="240" w:lineRule="auto"/>
    </w:pPr>
    <w:rPr>
      <w:rFonts w:ascii="Calibri" w:eastAsia="Calibri" w:hAnsi="Calibri" w:cs="Times New Roman"/>
    </w:rPr>
  </w:style>
  <w:style w:type="paragraph" w:styleId="a6">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qFormat/>
    <w:rsid w:val="00F10ADD"/>
    <w:pPr>
      <w:spacing w:before="100" w:beforeAutospacing="1" w:after="100" w:afterAutospacing="1"/>
      <w:jc w:val="left"/>
    </w:pPr>
    <w:rPr>
      <w:rFonts w:eastAsia="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6"/>
    <w:uiPriority w:val="99"/>
    <w:locked/>
    <w:rsid w:val="00F10ADD"/>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F10A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2023-02-19T12:35:00Z</dcterms:created>
  <dcterms:modified xsi:type="dcterms:W3CDTF">2023-02-19T12:54:00Z</dcterms:modified>
</cp:coreProperties>
</file>