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63" w:rsidRPr="00D83463" w:rsidRDefault="00D83463" w:rsidP="00D83463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sz w:val="28"/>
          <w:szCs w:val="24"/>
          <w:lang w:val="kk-KZ"/>
        </w:rPr>
        <w:t>Алматы қаласы, Әуезов ауданы, №153 МГ</w:t>
      </w:r>
    </w:p>
    <w:p w:rsidR="00D83463" w:rsidRPr="00D83463" w:rsidRDefault="008808B5" w:rsidP="00D83463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б</w:t>
      </w:r>
      <w:r w:rsidR="00D83463" w:rsidRPr="00D83463">
        <w:rPr>
          <w:rFonts w:ascii="Times New Roman" w:hAnsi="Times New Roman" w:cs="Times New Roman"/>
          <w:sz w:val="28"/>
          <w:szCs w:val="24"/>
          <w:lang w:val="kk-KZ"/>
        </w:rPr>
        <w:t>астауыш сынып мұғалімі Тохтахунова Г.Ж.</w:t>
      </w:r>
    </w:p>
    <w:p w:rsidR="00D83463" w:rsidRDefault="00D83463" w:rsidP="008808B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3463" w:rsidRDefault="00D83463" w:rsidP="001414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414EC" w:rsidRDefault="001414EC" w:rsidP="001414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b/>
          <w:sz w:val="28"/>
          <w:szCs w:val="24"/>
          <w:lang w:val="kk-KZ"/>
        </w:rPr>
        <w:t>Ойлау деңгейін өлшеу:   SOLO таксономиясын қолдану әдістері</w:t>
      </w:r>
    </w:p>
    <w:p w:rsidR="008808B5" w:rsidRPr="00D83463" w:rsidRDefault="008808B5" w:rsidP="001414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312FC" w:rsidRPr="008808B5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8808B5">
        <w:rPr>
          <w:rFonts w:ascii="Times New Roman" w:hAnsi="Times New Roman" w:cs="Times New Roman"/>
          <w:sz w:val="28"/>
          <w:szCs w:val="24"/>
          <w:lang w:val="kk-KZ"/>
        </w:rPr>
        <w:t>SOLO таксономиясы – бұл оқу нәтижелері байқалатын құрылым.</w:t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83463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49B456FB" wp14:editId="2679ACB5">
            <wp:extent cx="2390775" cy="555846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5744" t="10378" r="-701" b="11222"/>
                    <a:stretch>
                      <a:fillRect/>
                    </a:stretch>
                  </pic:blipFill>
                  <pic:spPr>
                    <a:xfrm>
                      <a:off x="0" y="0"/>
                      <a:ext cx="2448352" cy="56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S (Structure) –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құрылым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D83463">
        <w:rPr>
          <w:rFonts w:ascii="Times New Roman" w:hAnsi="Times New Roman" w:cs="Times New Roman"/>
          <w:sz w:val="28"/>
          <w:szCs w:val="24"/>
          <w:lang w:val="en-US"/>
        </w:rPr>
        <w:t>O  (</w:t>
      </w:r>
      <w:proofErr w:type="gram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Observed) – </w:t>
      </w:r>
      <w:proofErr w:type="spellStart"/>
      <w:r w:rsidRPr="00D83463">
        <w:rPr>
          <w:rFonts w:ascii="Times New Roman" w:hAnsi="Times New Roman" w:cs="Times New Roman"/>
          <w:sz w:val="28"/>
          <w:szCs w:val="24"/>
          <w:lang w:val="en-US"/>
        </w:rPr>
        <w:t>байқалатын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L (Learning) – </w:t>
      </w:r>
      <w:proofErr w:type="spellStart"/>
      <w:r w:rsidRPr="00D83463">
        <w:rPr>
          <w:rFonts w:ascii="Times New Roman" w:hAnsi="Times New Roman" w:cs="Times New Roman"/>
          <w:sz w:val="28"/>
          <w:szCs w:val="24"/>
          <w:lang w:val="en-US"/>
        </w:rPr>
        <w:t>оқу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O (Outcomes) – </w:t>
      </w:r>
      <w:proofErr w:type="spellStart"/>
      <w:r w:rsidRPr="00D83463">
        <w:rPr>
          <w:rFonts w:ascii="Times New Roman" w:hAnsi="Times New Roman" w:cs="Times New Roman"/>
          <w:sz w:val="28"/>
          <w:szCs w:val="24"/>
          <w:lang w:val="en-US"/>
        </w:rPr>
        <w:t>нәтижелері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00000" w:rsidRPr="00D83463" w:rsidRDefault="008808B5" w:rsidP="001414EC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SOLO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таксономиясын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беру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саласындағы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екі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зерттеуші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мұғалімдерге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тиімдірек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үдерістерін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әзірлеуге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көмектесетін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құрылым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жасауға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қызығушылық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танытқан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Джон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Биггс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пен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Кевин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Коллис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1982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әзірледі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құ</w:t>
      </w:r>
      <w:r w:rsidRPr="00D83463">
        <w:rPr>
          <w:rFonts w:ascii="Times New Roman" w:hAnsi="Times New Roman" w:cs="Times New Roman"/>
          <w:sz w:val="28"/>
          <w:szCs w:val="24"/>
        </w:rPr>
        <w:t>рылым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түсінудің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әртүрлі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деңгейлері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бар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оқушылар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күрделірек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тапсырмалар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мен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идеялармен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өзара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әрекеттесу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деңгейлерден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өте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идеяға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негізделген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.</w:t>
      </w:r>
      <w:r w:rsidR="001414EC"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SOLO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таксономиясы - бұл оқушылардың белгілі бір пән немесе тапсырма бойынша қол жеткізген білім тереңдігін бағалауға арналған құнды құрал.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мұғалімдерге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оқушылардың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оқудың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қай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кезеңі</w:t>
      </w:r>
      <w:r w:rsidRPr="00D83463">
        <w:rPr>
          <w:rFonts w:ascii="Times New Roman" w:hAnsi="Times New Roman" w:cs="Times New Roman"/>
          <w:sz w:val="28"/>
          <w:szCs w:val="24"/>
        </w:rPr>
        <w:t>нде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тұрғанын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анықтауға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оларды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түсініктің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тереңірек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деңгейіне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көшіру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қандай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қадамдар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жасау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керектігін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анықтауға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мүмкіндік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000000" w:rsidRPr="00D83463" w:rsidRDefault="008808B5" w:rsidP="001414EC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SOLO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таксономиясы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көбінесе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конструктивті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үйлестіру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тұжырымдамасымен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бірге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қолданылады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оқыту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нәтижелері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оқытушының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іс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-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әрікеті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бағалау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тапсырмалары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-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бірімен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үйлестірілуі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тиіс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дегенді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білдіреді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үш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элементті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үйлестіру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мұғалімдер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оқушыларының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мағыналы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тиімді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оқитынына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көз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жеткізе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1414EC" w:rsidRPr="00D83463" w:rsidRDefault="001414EC" w:rsidP="001414EC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en-US"/>
        </w:rPr>
      </w:pPr>
    </w:p>
    <w:p w:rsidR="001414EC" w:rsidRPr="00D83463" w:rsidRDefault="001414EC" w:rsidP="001414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SOLO 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таксономиясының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деңгейлері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дегеніміз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b/>
          <w:bCs/>
          <w:sz w:val="28"/>
          <w:szCs w:val="24"/>
        </w:rPr>
        <w:t>не</w:t>
      </w:r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>?</w:t>
      </w:r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</w:p>
    <w:p w:rsidR="00000000" w:rsidRPr="00D83463" w:rsidRDefault="008808B5" w:rsidP="001414EC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нәтижелерінің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байқалатын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құрылымы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оқушылардың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ойлауының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күрделілігі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сапасын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деңгейлерде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құрылымдаудың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сенімді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тәсілін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ұ</w:t>
      </w:r>
      <w:r w:rsidRPr="00D83463">
        <w:rPr>
          <w:rFonts w:ascii="Times New Roman" w:hAnsi="Times New Roman" w:cs="Times New Roman"/>
          <w:sz w:val="28"/>
          <w:szCs w:val="24"/>
        </w:rPr>
        <w:t>сынады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педагогтарға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жетістік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деңгейлерін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бағалауға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сапалы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оқытуға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ықпал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етуге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мүмкіндік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беретін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әмбебап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құрал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таксономия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</w:rPr>
        <w:t>бес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деңгейден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тұрады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олардың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әрқайсысы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білімнің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әртүрлі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тереңдігін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қабілет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деңгейін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білдіреді</w:t>
      </w:r>
      <w:proofErr w:type="spellEnd"/>
      <w:r w:rsidRPr="00D83463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1414EC" w:rsidRPr="00D83463" w:rsidRDefault="001414EC" w:rsidP="001414EC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en-US"/>
        </w:rPr>
      </w:pPr>
    </w:p>
    <w:p w:rsidR="001414EC" w:rsidRPr="00D83463" w:rsidRDefault="001414EC" w:rsidP="001414E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D83463">
        <w:rPr>
          <w:rFonts w:ascii="Times New Roman" w:hAnsi="Times New Roman" w:cs="Times New Roman"/>
          <w:sz w:val="28"/>
          <w:szCs w:val="24"/>
        </w:rPr>
        <w:lastRenderedPageBreak/>
        <w:drawing>
          <wp:inline distT="0" distB="0" distL="0" distR="0" wp14:anchorId="24E36735" wp14:editId="42FB32B9">
            <wp:extent cx="4931398" cy="3028950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766" cy="306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D83463" w:rsidRDefault="008808B5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Құрылымға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дейінгі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деңгей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(</w:t>
      </w:r>
      <w:proofErr w:type="spellStart"/>
      <w:r w:rsidRPr="00D83463">
        <w:rPr>
          <w:rFonts w:ascii="Times New Roman" w:hAnsi="Times New Roman" w:cs="Times New Roman"/>
          <w:b/>
          <w:bCs/>
          <w:sz w:val="28"/>
          <w:szCs w:val="24"/>
        </w:rPr>
        <w:t>Предструкту</w:t>
      </w:r>
      <w:r w:rsidRPr="00D83463">
        <w:rPr>
          <w:rFonts w:ascii="Times New Roman" w:hAnsi="Times New Roman" w:cs="Times New Roman"/>
          <w:b/>
          <w:bCs/>
          <w:sz w:val="28"/>
          <w:szCs w:val="24"/>
        </w:rPr>
        <w:t>рный</w:t>
      </w:r>
      <w:proofErr w:type="spellEnd"/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r w:rsidRPr="00D83463">
        <w:rPr>
          <w:rFonts w:ascii="Times New Roman" w:hAnsi="Times New Roman" w:cs="Times New Roman"/>
          <w:b/>
          <w:bCs/>
          <w:sz w:val="28"/>
          <w:szCs w:val="24"/>
        </w:rPr>
        <w:t>уровень</w:t>
      </w:r>
      <w:r w:rsidRPr="00D83463">
        <w:rPr>
          <w:rFonts w:ascii="Times New Roman" w:hAnsi="Times New Roman" w:cs="Times New Roman"/>
          <w:b/>
          <w:bCs/>
          <w:sz w:val="28"/>
          <w:szCs w:val="24"/>
          <w:lang w:val="en-US"/>
        </w:rPr>
        <w:t>):</w:t>
      </w:r>
      <w:r w:rsidRPr="00D8346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Бұл жерде оқушылар түсініктің жоқтығын көрсетеді, көбінесе мәселенің мәнін мүлде түсінбейді. Ойлау деңгейі ең төменгі бо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лып, анықтау, есте сақтау және еске түсіру сияқты төменгі тәртіптегі етістіктерге баса назар аударылады. Мысалы, Оқушы астананың не екендігі туралы сұраққа жауап бермейді немесе "Мен білмеймін"деп жауап береді.</w:t>
      </w:r>
    </w:p>
    <w:p w:rsidR="00000000" w:rsidRPr="00D83463" w:rsidRDefault="008808B5" w:rsidP="001414E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>Моноқұрылымдық немесе бір құрылымдық деңг</w:t>
      </w:r>
      <w:r w:rsidR="001414EC"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ей.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Бұл кезеңде</w:t>
      </w:r>
      <w:r w:rsidR="001414EC"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 оқушылар білімнің жекелеген а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ектілерін анықтай алады, және олардың түсінігі оқшаул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анған пәндік біліммен шектеледі. Мысалы, </w:t>
      </w:r>
      <w:r w:rsidRPr="00D83463">
        <w:rPr>
          <w:rFonts w:ascii="Times New Roman" w:hAnsi="Times New Roman" w:cs="Times New Roman"/>
          <w:sz w:val="28"/>
          <w:szCs w:val="24"/>
        </w:rPr>
        <w:t xml:space="preserve">"Астана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деген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не?"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 сұрағына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оқ</w:t>
      </w:r>
      <w:r w:rsidRPr="00D83463">
        <w:rPr>
          <w:rFonts w:ascii="Times New Roman" w:hAnsi="Times New Roman" w:cs="Times New Roman"/>
          <w:sz w:val="28"/>
          <w:szCs w:val="24"/>
        </w:rPr>
        <w:t>ушы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"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қала"деп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жауап</w:t>
      </w:r>
      <w:proofErr w:type="spellEnd"/>
      <w:r w:rsidRPr="00D834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83463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</w:p>
    <w:p w:rsidR="00000000" w:rsidRPr="00D83463" w:rsidRDefault="008808B5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Көпқұрылымдық деңгей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Бұл деңгейде білім көлемі ұлғаяды. Білім алушылар ақпараттың көптеген бөліктерін жинай бастайды, бірақ оларды бір-бірімен байланыстыру қиынға соғады. Мысалы,  "Астана деген не?" сұрағына оқұшы "бұл қала, оның үкіметі бар және онда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көптеген адамдар бар"деп жауап береді.</w:t>
      </w:r>
    </w:p>
    <w:p w:rsidR="00000000" w:rsidRPr="00D83463" w:rsidRDefault="008808B5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>Қатынастық</w:t>
      </w: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деңгей</w:t>
      </w:r>
      <w:r w:rsidR="00D83463"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.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 Бұл жерде оқұшылардің басшылығымен о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қытудың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 ғажайыптығы көріне бастайды. Оқушылар көпқұрылымдық элементтерді біртұтас бірлікке байланыстыра бастайды. Олардың ойлау деңгейі күрделене түседі және олар фактілер арасындағы өзара байланысты түсіне бастайды. Мысалы, "Астана деген не? Сұраққа  Аста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на-бұл үкімет орналасқан және көбінесе ірі мәдени-экономикалық орталық болып табылатын елдің басты қаласы» деген жауап береді.</w:t>
      </w:r>
    </w:p>
    <w:p w:rsidR="00000000" w:rsidRPr="00D83463" w:rsidRDefault="008808B5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>Кеңейтілген абстрактілі деңгей</w:t>
      </w:r>
      <w:r w:rsidR="00D83463"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>.</w:t>
      </w:r>
      <w:r w:rsidRPr="00D83463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Бұл – SOLO таксономиясының шыңы. Бұл жерде студенттер фактілерді байланыстырып қана қоймай, берілген контекстен тыс гипотезалар құрып, болжам жасайды. Жетістік деңгейі жоғары, және с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туденттер өздерінің тізбекті білімдерін жаңа, абстрактілі сценарийлерге қолдана білетіндерін көрсетеді. Мысалы, бұл кезеңде "Астана деген не?"оқушы жауап береді" Астана-бұл тек географиялық орын ғана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lastRenderedPageBreak/>
        <w:t>емес, сонымен бірге мемлекеттің саяси, экономикалық және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 мәдени символы, ол жеке тұлғаны қалыптастырады және бүкіл елдің дамуына әсер етеді. </w:t>
      </w:r>
    </w:p>
    <w:p w:rsidR="00000000" w:rsidRDefault="008808B5" w:rsidP="00D83463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kk-KZ"/>
        </w:rPr>
      </w:pPr>
      <w:r w:rsidRPr="00D83463">
        <w:rPr>
          <w:rFonts w:ascii="Times New Roman" w:hAnsi="Times New Roman" w:cs="Times New Roman"/>
          <w:sz w:val="28"/>
          <w:szCs w:val="24"/>
          <w:lang w:val="kk-KZ"/>
        </w:rPr>
        <w:t xml:space="preserve">SOLO 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таксономиясын оқытуға енгізу арқылы пе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дагогтар оқушылардың ойлау деңгейін моноқұрылымдықтан абстрактіліге дейін біртіндеп көтере алады, осылайша тереңірек, концептуалды түсінікті қолдайды. Бұл оқушыларды жай ғана фактілерді қабылдаудан бастап, осы фактілерді шығармашылықпен және ойланып байлан</w:t>
      </w:r>
      <w:r w:rsidRPr="00D83463">
        <w:rPr>
          <w:rFonts w:ascii="Times New Roman" w:hAnsi="Times New Roman" w:cs="Times New Roman"/>
          <w:sz w:val="28"/>
          <w:szCs w:val="24"/>
          <w:lang w:val="kk-KZ"/>
        </w:rPr>
        <w:t>ыстыруға және қолдануға дейін көшуге ықпал ететін сенімді тәсіл.</w:t>
      </w:r>
    </w:p>
    <w:p w:rsidR="00D83463" w:rsidRDefault="00D83463" w:rsidP="00D83463">
      <w:pPr>
        <w:spacing w:after="0"/>
        <w:ind w:firstLine="708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</w:p>
    <w:p w:rsidR="001414EC" w:rsidRPr="00D83463" w:rsidRDefault="001414EC" w:rsidP="001414E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414EC" w:rsidRPr="001414EC" w:rsidRDefault="001414EC" w:rsidP="001414EC">
      <w:pPr>
        <w:rPr>
          <w:lang w:val="kk-KZ"/>
        </w:rPr>
      </w:pPr>
    </w:p>
    <w:p w:rsidR="001414EC" w:rsidRPr="001414EC" w:rsidRDefault="001414EC" w:rsidP="001414EC">
      <w:pPr>
        <w:rPr>
          <w:lang w:val="kk-KZ"/>
        </w:rPr>
      </w:pPr>
    </w:p>
    <w:p w:rsidR="001414EC" w:rsidRPr="001414EC" w:rsidRDefault="001414EC" w:rsidP="001414EC">
      <w:pPr>
        <w:rPr>
          <w:lang w:val="kk-KZ"/>
        </w:rPr>
      </w:pPr>
    </w:p>
    <w:p w:rsidR="001414EC" w:rsidRPr="001414EC" w:rsidRDefault="001414EC" w:rsidP="001414EC">
      <w:pPr>
        <w:rPr>
          <w:lang w:val="kk-KZ"/>
        </w:rPr>
      </w:pPr>
    </w:p>
    <w:p w:rsidR="001414EC" w:rsidRPr="001414EC" w:rsidRDefault="001414EC">
      <w:pPr>
        <w:rPr>
          <w:lang w:val="kk-KZ"/>
        </w:rPr>
      </w:pPr>
    </w:p>
    <w:sectPr w:rsidR="001414EC" w:rsidRPr="0014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42EC1"/>
    <w:multiLevelType w:val="hybridMultilevel"/>
    <w:tmpl w:val="9D680940"/>
    <w:lvl w:ilvl="0" w:tplc="3FAC3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C7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82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E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23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07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8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07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4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C56176"/>
    <w:multiLevelType w:val="hybridMultilevel"/>
    <w:tmpl w:val="7548D5B2"/>
    <w:lvl w:ilvl="0" w:tplc="B1CC7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8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60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68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C2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22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AC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48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D66F4B"/>
    <w:multiLevelType w:val="hybridMultilevel"/>
    <w:tmpl w:val="E544F14A"/>
    <w:lvl w:ilvl="0" w:tplc="37DA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8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AB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47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A1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A3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42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FD28D2"/>
    <w:multiLevelType w:val="hybridMultilevel"/>
    <w:tmpl w:val="5636B7B2"/>
    <w:lvl w:ilvl="0" w:tplc="B490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CA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04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01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22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4C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4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8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1D56FB"/>
    <w:multiLevelType w:val="hybridMultilevel"/>
    <w:tmpl w:val="5A7236D0"/>
    <w:lvl w:ilvl="0" w:tplc="2516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A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28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EA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4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47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E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C8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5F3ED7"/>
    <w:multiLevelType w:val="hybridMultilevel"/>
    <w:tmpl w:val="19702CA0"/>
    <w:lvl w:ilvl="0" w:tplc="4C223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0E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EA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8C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CE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0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43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C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E3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5E"/>
    <w:rsid w:val="001414EC"/>
    <w:rsid w:val="003D195E"/>
    <w:rsid w:val="005312FC"/>
    <w:rsid w:val="008808B5"/>
    <w:rsid w:val="00D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4BF4F-2B50-46EC-9960-C93412A6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1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5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2025-05-12T11:12:00Z</dcterms:created>
  <dcterms:modified xsi:type="dcterms:W3CDTF">2025-05-12T11:48:00Z</dcterms:modified>
</cp:coreProperties>
</file>