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A53CF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Демонстрационный экзамен</w:t>
      </w:r>
    </w:p>
    <w:p w14:paraId="6A6DFE65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C54C80" w14:textId="77701AD3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Демонстрационный экзамен по стандартам </w:t>
      </w:r>
      <w:proofErr w:type="spellStart"/>
      <w:r w:rsidRPr="00956534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956534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956534">
        <w:rPr>
          <w:rFonts w:ascii="Times New Roman" w:hAnsi="Times New Roman" w:cs="Times New Roman"/>
          <w:sz w:val="28"/>
          <w:szCs w:val="28"/>
        </w:rPr>
        <w:t xml:space="preserve"> с целью определения у студентов и выпускников уровня знаний, умений, навыков, позволяющих вести профессиональную деятельность в определенной сфере и (или) выполнять работу по конкретным профессии или специальности в соответствии со стандартами </w:t>
      </w:r>
      <w:proofErr w:type="spellStart"/>
      <w:proofErr w:type="gramStart"/>
      <w:r w:rsidRPr="00956534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95653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56534">
        <w:rPr>
          <w:rFonts w:ascii="Times New Roman" w:hAnsi="Times New Roman" w:cs="Times New Roman"/>
          <w:sz w:val="28"/>
          <w:szCs w:val="28"/>
        </w:rPr>
        <w:t xml:space="preserve"> Включение формата демонстрационного экзамена в процедуру государственной итоговой аттестации обучающихся профессиональных образовательных организаций – это модель независимой оценки качества подготовки кадров, содействующая решению нескольких задач системы профессионального образования и рынка </w:t>
      </w:r>
      <w:bookmarkStart w:id="0" w:name="_GoBack"/>
      <w:bookmarkEnd w:id="0"/>
      <w:r w:rsidRPr="00956534">
        <w:rPr>
          <w:rFonts w:ascii="Times New Roman" w:hAnsi="Times New Roman" w:cs="Times New Roman"/>
          <w:sz w:val="28"/>
          <w:szCs w:val="28"/>
        </w:rPr>
        <w:t>труда без проведения дополнительных процедур.</w:t>
      </w:r>
    </w:p>
    <w:p w14:paraId="64147BE0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Образовательным организациям</w:t>
      </w:r>
    </w:p>
    <w:p w14:paraId="00E1351E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Для образовательных организаций проведение аттестационных испытаний в формате демонстрационного экзамена – это: </w:t>
      </w:r>
    </w:p>
    <w:p w14:paraId="5ABF7339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- возможность объективно оценить содержание и качество образовательных программ; </w:t>
      </w:r>
    </w:p>
    <w:p w14:paraId="7DB43BCE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- объективно оценить материально-техническую базу; </w:t>
      </w:r>
    </w:p>
    <w:p w14:paraId="06673AEF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- оценить уровень квалификации преподавательского состава; </w:t>
      </w:r>
    </w:p>
    <w:p w14:paraId="414CA848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- возможность определения точек роста и дальнейшего развития в соответствии с актуальными требованиями международного рынка труда.</w:t>
      </w:r>
    </w:p>
    <w:p w14:paraId="34E0BA9B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Предприятиям</w:t>
      </w:r>
    </w:p>
    <w:p w14:paraId="2C63AE17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Предприятия получают доступ к единой базе участников движения </w:t>
      </w:r>
      <w:proofErr w:type="spellStart"/>
      <w:r w:rsidRPr="00956534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956534">
        <w:rPr>
          <w:rFonts w:ascii="Times New Roman" w:hAnsi="Times New Roman" w:cs="Times New Roman"/>
          <w:sz w:val="28"/>
          <w:szCs w:val="28"/>
        </w:rPr>
        <w:t xml:space="preserve"> и выпускников, прошедших процедуру демонстрационного экзамена, и могут осуществить подбор лучших молодых специалистов по востребованным компетенциям, оценив на практике их профессиональные умения и навыки, а также определить образовательные организации для сотрудничества в области подготовки и развития персонала.</w:t>
      </w:r>
    </w:p>
    <w:p w14:paraId="071A83C6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3DE71F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и проведение демонстрационного экзамена по стандартам </w:t>
      </w:r>
      <w:proofErr w:type="spellStart"/>
      <w:r w:rsidRPr="00956534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956534">
        <w:rPr>
          <w:rFonts w:ascii="Times New Roman" w:hAnsi="Times New Roman" w:cs="Times New Roman"/>
          <w:sz w:val="28"/>
          <w:szCs w:val="28"/>
        </w:rPr>
        <w:t>. Оценка квалификации студента (выпускника) в ходе демонстрационного экзамена.</w:t>
      </w:r>
    </w:p>
    <w:p w14:paraId="24D85FD6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BE16AD6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1. Методика оценивания промежуточных и итоговых результатов обучения по основной профессиональной образовательной программе (программе профессионального обучения) с применением соответствующего стандарта компетенции </w:t>
      </w:r>
      <w:proofErr w:type="spellStart"/>
      <w:proofErr w:type="gramStart"/>
      <w:r w:rsidRPr="00956534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956534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956534">
        <w:rPr>
          <w:rFonts w:ascii="Times New Roman" w:hAnsi="Times New Roman" w:cs="Times New Roman"/>
          <w:sz w:val="28"/>
          <w:szCs w:val="28"/>
        </w:rPr>
        <w:t>Парикмахерское искусство».</w:t>
      </w:r>
    </w:p>
    <w:p w14:paraId="31CC6245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E2B255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 2. Организация и проведение демонстрационного экзамена по стандартам </w:t>
      </w:r>
      <w:proofErr w:type="spellStart"/>
      <w:proofErr w:type="gramStart"/>
      <w:r w:rsidRPr="00956534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956534">
        <w:rPr>
          <w:rFonts w:ascii="Times New Roman" w:hAnsi="Times New Roman" w:cs="Times New Roman"/>
          <w:sz w:val="28"/>
          <w:szCs w:val="28"/>
        </w:rPr>
        <w:t xml:space="preserve">  или</w:t>
      </w:r>
      <w:proofErr w:type="gramEnd"/>
      <w:r w:rsidRPr="00956534">
        <w:rPr>
          <w:rFonts w:ascii="Times New Roman" w:hAnsi="Times New Roman" w:cs="Times New Roman"/>
          <w:sz w:val="28"/>
          <w:szCs w:val="28"/>
        </w:rPr>
        <w:t xml:space="preserve"> чемпионата по стандартам </w:t>
      </w:r>
      <w:proofErr w:type="spellStart"/>
      <w:r w:rsidRPr="00956534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956534">
        <w:rPr>
          <w:rFonts w:ascii="Times New Roman" w:hAnsi="Times New Roman" w:cs="Times New Roman"/>
          <w:sz w:val="28"/>
          <w:szCs w:val="28"/>
        </w:rPr>
        <w:t>.</w:t>
      </w:r>
    </w:p>
    <w:p w14:paraId="7BE0225E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Тематика практических занятий </w:t>
      </w:r>
    </w:p>
    <w:p w14:paraId="609378E4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Разработка схемы оценки по модулям с учётом поставленных задач. </w:t>
      </w:r>
    </w:p>
    <w:p w14:paraId="1491AFB4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2. Практическое выполнение модулей задания демонстрационного экзамена по стандартам </w:t>
      </w:r>
      <w:proofErr w:type="spellStart"/>
      <w:proofErr w:type="gramStart"/>
      <w:r w:rsidRPr="00956534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95653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565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0E3CF2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Итоговая аттестация: </w:t>
      </w:r>
    </w:p>
    <w:p w14:paraId="2144DE5E" w14:textId="77777777" w:rsidR="00102FF6" w:rsidRPr="00956534" w:rsidRDefault="00102FF6" w:rsidP="00102FF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Демонстрационный экзамен по стандартам </w:t>
      </w:r>
      <w:proofErr w:type="spellStart"/>
      <w:proofErr w:type="gramStart"/>
      <w:r w:rsidRPr="00956534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956534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Pr="00956534">
        <w:rPr>
          <w:rFonts w:ascii="Times New Roman" w:hAnsi="Times New Roman" w:cs="Times New Roman"/>
          <w:sz w:val="28"/>
          <w:szCs w:val="28"/>
        </w:rPr>
        <w:t xml:space="preserve"> компетенции «Парикмахерское искусство» - слушатели выступают и как участники (в роли студентов), и как организаторы (в роли экспертов) чемпионата.</w:t>
      </w:r>
    </w:p>
    <w:p w14:paraId="6A137671" w14:textId="77777777" w:rsidR="00102FF6" w:rsidRPr="00956534" w:rsidRDefault="00102FF6" w:rsidP="00102FF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B3B308" w14:textId="77777777" w:rsidR="00102FF6" w:rsidRPr="00956534" w:rsidRDefault="00102FF6" w:rsidP="00102FF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Основными регламентирующими документами демонстрационного по стандартам </w:t>
      </w:r>
      <w:proofErr w:type="spellStart"/>
      <w:r w:rsidRPr="00956534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95653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3E7F58D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Кодекс этики. </w:t>
      </w:r>
    </w:p>
    <w:p w14:paraId="44C3EC2D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- Методика организации демонстрационного экзамена.</w:t>
      </w:r>
    </w:p>
    <w:p w14:paraId="2B485EE7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- Техническое описание компетенции. </w:t>
      </w:r>
    </w:p>
    <w:p w14:paraId="126D949E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- Конкурсное задание (Оценочные материалы для демонстрационного экзамена по стандартам </w:t>
      </w:r>
      <w:proofErr w:type="spellStart"/>
      <w:r w:rsidRPr="00956534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956534">
        <w:rPr>
          <w:rFonts w:ascii="Times New Roman" w:hAnsi="Times New Roman" w:cs="Times New Roman"/>
          <w:sz w:val="28"/>
          <w:szCs w:val="28"/>
        </w:rPr>
        <w:t xml:space="preserve"> по компетенции «Парикмахерское искусство»).</w:t>
      </w:r>
    </w:p>
    <w:p w14:paraId="10EB3CEE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lastRenderedPageBreak/>
        <w:t xml:space="preserve">Включение формата демонстрационного экзамена в процедуру государственной итоговой аттестации обучающихся профессиональных образовательных организаций – это модель независимой оценки качества подготовки кадров, содействующая решению нескольких задач системы профессионального образования и рынка труда без проведения дополнительных процедур. </w:t>
      </w:r>
    </w:p>
    <w:p w14:paraId="2B8D2D89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Прежде всего, соответствующая процедура обеспечивает качественную экспертную оценку в соответствии с международными стандартами, так как в предлагаемой модели экспертное участие, в том числе представителей работодателей требует подтверждения квалификации по стандартам </w:t>
      </w:r>
      <w:proofErr w:type="spellStart"/>
      <w:r w:rsidRPr="00956534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956534">
        <w:rPr>
          <w:rFonts w:ascii="Times New Roman" w:hAnsi="Times New Roman" w:cs="Times New Roman"/>
          <w:sz w:val="28"/>
          <w:szCs w:val="28"/>
        </w:rPr>
        <w:t>.</w:t>
      </w:r>
    </w:p>
    <w:p w14:paraId="6218A7A6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Основные требования к проведению демонстрационного экзамена по стандартам </w:t>
      </w:r>
      <w:proofErr w:type="spellStart"/>
      <w:r w:rsidRPr="00956534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956534">
        <w:rPr>
          <w:rFonts w:ascii="Times New Roman" w:hAnsi="Times New Roman" w:cs="Times New Roman"/>
          <w:sz w:val="28"/>
          <w:szCs w:val="28"/>
        </w:rPr>
        <w:t>:</w:t>
      </w:r>
    </w:p>
    <w:p w14:paraId="66E48510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Контрольно-измерительные материалы на основе заданий Финала Национального чемпионата (WSR) по компетенциям, входящим в ТОП-50 профессий и специальностей, включая все модули </w:t>
      </w:r>
    </w:p>
    <w:p w14:paraId="67D19705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9B7D58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Организация и проведение демонстрационного экзамена сертифицированным экспертом </w:t>
      </w:r>
    </w:p>
    <w:p w14:paraId="5E2493B3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43283F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 - Соответствие площадок проведения требованиям WSR</w:t>
      </w:r>
    </w:p>
    <w:p w14:paraId="776BDA24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9C8E6F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Использование системы оценивания CIS</w:t>
      </w:r>
    </w:p>
    <w:p w14:paraId="3411462A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BD8D41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Подготовка к проведению демонстрационных экзаменов по стандартам </w:t>
      </w:r>
      <w:proofErr w:type="spellStart"/>
      <w:r w:rsidRPr="00956534">
        <w:rPr>
          <w:rFonts w:ascii="Times New Roman" w:hAnsi="Times New Roman" w:cs="Times New Roman"/>
          <w:sz w:val="28"/>
          <w:szCs w:val="28"/>
        </w:rPr>
        <w:t>WorldSkills</w:t>
      </w:r>
      <w:proofErr w:type="spellEnd"/>
    </w:p>
    <w:p w14:paraId="23E0C1D8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Этапы Мероприятия</w:t>
      </w:r>
    </w:p>
    <w:p w14:paraId="00793D09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За 3 месяца до начала экзамена</w:t>
      </w:r>
    </w:p>
    <w:p w14:paraId="46273346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- Определяются главные эксперты на площадку.</w:t>
      </w:r>
    </w:p>
    <w:p w14:paraId="68E6D653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- Формируется экспертная группа.</w:t>
      </w:r>
    </w:p>
    <w:p w14:paraId="7AB927E8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lastRenderedPageBreak/>
        <w:t>За 2 месяца до начала экзамена</w:t>
      </w:r>
    </w:p>
    <w:p w14:paraId="2C3CF5DB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Направление списка студентов и выпускников, сдающих демонстрационный экзамен.</w:t>
      </w:r>
    </w:p>
    <w:p w14:paraId="39B08EBA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 Заполнение всеми участниками личных профилей не позднее чем за два месяца до начала экзамена. </w:t>
      </w:r>
    </w:p>
    <w:p w14:paraId="456049F1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Информирует о зарегистрированных участниках о сроках и порядке</w:t>
      </w:r>
    </w:p>
    <w:p w14:paraId="1A016A43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проведения демонстрационного экзамена</w:t>
      </w:r>
    </w:p>
    <w:p w14:paraId="4356394C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После уточнения количества участников экзамена по компетенциям</w:t>
      </w:r>
    </w:p>
    <w:p w14:paraId="5DE0F1D9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Главным экспертом разрабатывается и утверждается схема расстановки и комплектования рабочих мест на каждую площадку.</w:t>
      </w:r>
    </w:p>
    <w:p w14:paraId="19AAF87D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За 1 месяц до начала экзамена</w:t>
      </w:r>
    </w:p>
    <w:p w14:paraId="4F0B810A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Готовится полная документация по ОТ и ТБ</w:t>
      </w:r>
    </w:p>
    <w:p w14:paraId="07624E3A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За 2 дня до начала экзамена</w:t>
      </w:r>
    </w:p>
    <w:p w14:paraId="615FC8A2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Главным экспертом проводится контрольная проверка площадки на предмет соответствия всем требованиям, фиксируется факт наличия необходимого оборудования.</w:t>
      </w:r>
    </w:p>
    <w:p w14:paraId="32A0C638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За 1 день до начала экзамена</w:t>
      </w:r>
    </w:p>
    <w:p w14:paraId="5CE1243D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Экспертной группой производится дооснащение площадки (при необходимости) и настройка оборудования.</w:t>
      </w:r>
    </w:p>
    <w:p w14:paraId="44382674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 xml:space="preserve">Распределение рабочих мест участников на площадке в соответствии с жеребьевкой. </w:t>
      </w:r>
    </w:p>
    <w:p w14:paraId="3928185E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Инструктаж по охране труда и технике безопасности.</w:t>
      </w:r>
    </w:p>
    <w:p w14:paraId="523B9B06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Подготовка участниками рабочих мест, ознакомление с оборудованием.</w:t>
      </w:r>
    </w:p>
    <w:p w14:paraId="53B71CF4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Итоговая аттестация в форме демонстрационного экзамена. Выполнение практического модуля, оценка работы.</w:t>
      </w:r>
    </w:p>
    <w:p w14:paraId="32DEAC6F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1. Изучить задание</w:t>
      </w:r>
    </w:p>
    <w:p w14:paraId="2389F877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2. Разработать и выполнить схему стрижки</w:t>
      </w:r>
    </w:p>
    <w:p w14:paraId="7F0DB469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3. Разработать и выполнить ИТК по окрашиванию волос</w:t>
      </w:r>
    </w:p>
    <w:p w14:paraId="4BCF0F6A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4. Выполнить задание на время</w:t>
      </w:r>
    </w:p>
    <w:p w14:paraId="618F254E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t>5. Произвести оценку выполненных работ под руководством</w:t>
      </w:r>
    </w:p>
    <w:p w14:paraId="4B970C55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534">
        <w:rPr>
          <w:rFonts w:ascii="Times New Roman" w:hAnsi="Times New Roman" w:cs="Times New Roman"/>
          <w:sz w:val="28"/>
          <w:szCs w:val="28"/>
        </w:rPr>
        <w:lastRenderedPageBreak/>
        <w:t>преподавателя курса</w:t>
      </w:r>
    </w:p>
    <w:p w14:paraId="7CC10167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5FB52C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9B60A10" w14:textId="77777777" w:rsidR="00102FF6" w:rsidRPr="00956534" w:rsidRDefault="00102FF6" w:rsidP="00102F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505D09" w14:textId="77777777" w:rsidR="00F21481" w:rsidRDefault="00F21481" w:rsidP="00102FF6">
      <w:pPr>
        <w:spacing w:after="0" w:line="360" w:lineRule="auto"/>
      </w:pPr>
    </w:p>
    <w:sectPr w:rsidR="00F2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F2DD3"/>
    <w:multiLevelType w:val="hybridMultilevel"/>
    <w:tmpl w:val="CC0A4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BE"/>
    <w:rsid w:val="000D6ABE"/>
    <w:rsid w:val="00102FF6"/>
    <w:rsid w:val="00F2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8B9B"/>
  <w15:chartTrackingRefBased/>
  <w15:docId w15:val="{8F22FE73-2D67-4543-A6B0-9A167E24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FF6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Абеева</dc:creator>
  <cp:keywords/>
  <dc:description/>
  <cp:lastModifiedBy>Ирина Абеева</cp:lastModifiedBy>
  <cp:revision>2</cp:revision>
  <dcterms:created xsi:type="dcterms:W3CDTF">2023-05-18T07:33:00Z</dcterms:created>
  <dcterms:modified xsi:type="dcterms:W3CDTF">2023-05-18T07:44:00Z</dcterms:modified>
</cp:coreProperties>
</file>