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BE5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t>ОБРАЗОВАНИЕ КАК  ИНСТРУМЕНТ СОЦИАЛЬНОЙ ПОЛИТИКИ В КИТАЕ</w:t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br w:type="textWrapping"/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t xml:space="preserve">                         </w:t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br w:type="textWrapping"/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br w:type="textWrapping"/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br w:type="textWrapping"/>
      </w:r>
      <w:r>
        <w:rPr>
          <w:rFonts w:hint="default" w:cs="Times New Roman"/>
          <w:b/>
          <w:bCs/>
          <w:i w:val="0"/>
          <w:iCs w:val="0"/>
          <w:color w:val="auto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Низамов Алишер Нуритдинович</w:t>
      </w:r>
    </w:p>
    <w:p w14:paraId="7CFB493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КазНУ им. Аль-Фараби, факультет Востоковедения</w:t>
      </w:r>
    </w:p>
    <w:p w14:paraId="285D470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Востоковедение, магистратура 1 курс</w:t>
      </w:r>
    </w:p>
    <w:p w14:paraId="11CAAFD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В данной статье анализируется роль системы образования в Китае как инструмента социальной политики. Рассматриваются ключевые реформы, направленные на обеспечение социальной мобильности и снижение уровня неравенства. Особое внимание уделяется образовательным реформам последних десятилетий, влиянию системы Гаокао на доступ к высшему образованию, а также мерам, направленным на улучшение условий обучения в сельских районах. </w:t>
      </w:r>
    </w:p>
    <w:p w14:paraId="428FF78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b/>
          <w:bCs/>
          <w:sz w:val="28"/>
          <w:szCs w:val="28"/>
        </w:rPr>
        <w:t>Ключевые слова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: образование, Китай, социальная политика,  реформы, Гаокао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>.</w:t>
      </w:r>
    </w:p>
    <w:p w14:paraId="1F989D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45CE69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Образование является важнейшим инструментом социальной политики во многих странах, и Китай не является исключением. В течение последних десятилетий реформы в сфере образования в Китае активно способствовали расширению возможностей для социальной мобильности и сокращению уровня неравенства. В данной статье рассматриваются основные этапы образовательных реформ, их влияние на общество и существующие вызовы.</w:t>
      </w:r>
    </w:p>
    <w:p w14:paraId="32F51BD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 Китае образование рассматривается как стратегический ресурс для национального развития. Государственная политика направлена на расширение образовательных возможностей, снижение разрыва между городскими и сельскими районами и повышение доступности качественного образования для всех слоев населения. Одним из главных инструментов социальной политики в Китае стало введение обязательного девятилетнего образования, что способствовало увеличению уровня грамотности и базового образования в стране.</w:t>
      </w:r>
    </w:p>
    <w:p w14:paraId="02E759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 1986 года в Китае введено девятилетнее обязательное образование, что стало важным шагом в устранении неграмотности и обеспечении базового образования для всех слоев населения. Это значительно повысило уровень грамотности и дало возможность миллионам детей, особенно из сельских районов, получить базовые знания.</w:t>
      </w:r>
    </w:p>
    <w:p w14:paraId="25C86A0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Гаокао (национальный экзамен для поступления в высшие учебные заведения) играет ключевую роль в системе социальной мобильности Китая. Однако из-за различий в качестве образования между регионами доступ к престижным университетам остается неравномерным. В последние годы государство проводит реформы, направленные на повышение справедливости экзаменационной системы и поддержку студентов из малообеспеченных семей.</w:t>
      </w:r>
    </w:p>
    <w:p w14:paraId="1A71236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Китайские университеты значительно расширили свои программы, а также внедрили международные стандарты в образовательный процесс. Политика «Проект 211» и «Проект 985» способствовали росту качества образования и привлечению инвестиций в ведущие вузы страны.</w:t>
      </w:r>
    </w:p>
    <w:p w14:paraId="1743813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Одна из ключевых проблем китайской системы образования – дисбаланс между городскими и сельскими регионами. В последние годы государство активно инвестирует в строительство школ, улучшение условий обучения и поддержку учителей в сельских районах, чтобы снизить этот разрыв.</w:t>
      </w:r>
    </w:p>
    <w:p w14:paraId="43A954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Образовательные реформы в Китае способствовали значительному увеличению социальной мобильности. Улучшение доступа к образованию позволило представителям низших слоев общества получить больше возможностей для карьерного роста и повышения качества жизни. Однако остаются вызовы, связанные с региональным неравенством, финансовыми барьерами для малообеспеченных семей и конкурентной системой Гаокао, создающей стрессовую нагрузку на студентов.</w:t>
      </w:r>
    </w:p>
    <w:p w14:paraId="7505122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Несмотря на достигнутые успехи, образовательная система Китая продолжает сталкиваться с рядом вызовов:</w:t>
      </w:r>
    </w:p>
    <w:p w14:paraId="0C20291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t>Региональный дисбаланс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– несмотря на государственные программы поддержки, сельские регионы все еще отстают от городских в плане качества образования.</w:t>
      </w:r>
    </w:p>
    <w:p w14:paraId="517E083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t>Высокая стоимость образования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– расходы на репетиторство и подготовительные курсы создают барьеры для семей с низким доходом.</w:t>
      </w:r>
    </w:p>
    <w:p w14:paraId="101657B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t>Конкурентная среда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– система Гаокао остается стрессовой и требует пересмотра в сторону более гибкого подхода к оценке знаний.</w:t>
      </w:r>
    </w:p>
    <w:p w14:paraId="2EBC40D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Образовательные реформы в Китае сыграли значительную роль в повышении социальной мобильности и сокращении неравенства. Однако остаются нерешенные проблемы, требующие дальнейших преобразований. Государственная политика продолжает развиваться в сторону справедливого и инклюзивного образования, что может способствовать дальнейшему снижению социального разрыва и улучшению качества жизни населения.</w:t>
      </w:r>
    </w:p>
    <w:p w14:paraId="2CC48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2FC49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bookmarkStart w:id="0" w:name="_GoBack"/>
      <w:bookmarkEnd w:id="0"/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</w:rPr>
        <w:t>Список литературы</w:t>
      </w: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:</w:t>
      </w:r>
    </w:p>
    <w:p w14:paraId="7E9509B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720"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Bray, M., &amp; Lykins, C. (2012). </w:t>
      </w:r>
      <w:r>
        <w:rPr>
          <w:rStyle w:val="6"/>
          <w:rFonts w:hint="default" w:ascii="Times New Roman" w:hAnsi="Times New Roman" w:cs="Times New Roman"/>
          <w:b w:val="0"/>
          <w:bCs w:val="0"/>
          <w:sz w:val="28"/>
          <w:szCs w:val="28"/>
        </w:rPr>
        <w:t>Shadow Education: Private Supplementary Tutoring and Its Implications for Policy Makers in Asia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 Asian Development Bank.</w:t>
      </w:r>
    </w:p>
    <w:p w14:paraId="113791D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720"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Hannum, E., &amp; Park, A. (2007). </w:t>
      </w:r>
      <w:r>
        <w:rPr>
          <w:rStyle w:val="6"/>
          <w:rFonts w:hint="default" w:ascii="Times New Roman" w:hAnsi="Times New Roman" w:cs="Times New Roman"/>
          <w:b w:val="0"/>
          <w:bCs w:val="0"/>
          <w:sz w:val="28"/>
          <w:szCs w:val="28"/>
        </w:rPr>
        <w:t>Education and Reform in China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 Routledge.</w:t>
      </w:r>
    </w:p>
    <w:p w14:paraId="685E0D5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720"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Li, H., Loyalka, P., Rozelle, S., &amp; Wu, B. (2017). </w:t>
      </w:r>
      <w:r>
        <w:rPr>
          <w:rStyle w:val="6"/>
          <w:rFonts w:hint="default" w:ascii="Times New Roman" w:hAnsi="Times New Roman" w:cs="Times New Roman"/>
          <w:b w:val="0"/>
          <w:bCs w:val="0"/>
          <w:sz w:val="28"/>
          <w:szCs w:val="28"/>
        </w:rPr>
        <w:t>Human Capital and China's Future Growth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 Stanford University Press.</w:t>
      </w:r>
    </w:p>
    <w:p w14:paraId="597CCD3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720"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Tsang, M. C. (2000). </w:t>
      </w:r>
      <w:r>
        <w:rPr>
          <w:rStyle w:val="6"/>
          <w:rFonts w:hint="default" w:ascii="Times New Roman" w:hAnsi="Times New Roman" w:cs="Times New Roman"/>
          <w:b w:val="0"/>
          <w:bCs w:val="0"/>
          <w:sz w:val="28"/>
          <w:szCs w:val="28"/>
        </w:rPr>
        <w:t>Education and National Development in China since 1949: Oscillating Policies and Enduring Dilemmas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 China Review.</w:t>
      </w:r>
    </w:p>
    <w:p w14:paraId="4BC086A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720" w:firstLine="709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Zhang, W., &amp; Luo, R. (2013). </w:t>
      </w:r>
      <w:r>
        <w:rPr>
          <w:rStyle w:val="6"/>
          <w:rFonts w:hint="default" w:ascii="Times New Roman" w:hAnsi="Times New Roman" w:cs="Times New Roman"/>
          <w:b w:val="0"/>
          <w:bCs w:val="0"/>
          <w:sz w:val="28"/>
          <w:szCs w:val="28"/>
        </w:rPr>
        <w:t>Educational Inequality and Socioeconomic Mobility in China: Trends and Mechanisms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 Social Sciences in China.</w:t>
      </w:r>
    </w:p>
    <w:p w14:paraId="02856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5" w:h="16840"/>
      <w:pgMar w:top="1134" w:right="850" w:bottom="1134" w:left="1701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10C2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9BEF">
    <w:pPr>
      <w:pStyle w:val="9"/>
      <w:spacing w:after="0" w:line="240" w:lineRule="auto"/>
      <w:ind w:left="0" w:firstLine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9501A"/>
    <w:rsid w:val="1379501A"/>
    <w:rsid w:val="195168E6"/>
    <w:rsid w:val="19DD5889"/>
    <w:rsid w:val="2FE64530"/>
    <w:rsid w:val="37D45637"/>
    <w:rsid w:val="411D36A7"/>
    <w:rsid w:val="45A45DD4"/>
    <w:rsid w:val="46D0597A"/>
    <w:rsid w:val="50A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" w:line="276" w:lineRule="auto"/>
      <w:ind w:left="10" w:hanging="10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ru-RU" w:eastAsia="ja-JP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2025-03-15T09:05:00Z</dcterms:created>
  <dc:creator>Алишер Низамов</dc:creator>
  <cp:lastModifiedBy>Алишер Низамов</cp:lastModifiedBy>
  <dcterms:modified xsi:type="dcterms:W3CDTF">2025-03-31T14:41:32Z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E7A1B12EC9E848C683774CA97EC64880_13</vt:lpwstr>
  </property>
</Properties>
</file>