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428" w:rsidRDefault="003A3428" w:rsidP="00D16DFC">
      <w:pPr>
        <w:spacing w:after="0" w:line="240" w:lineRule="auto"/>
        <w:jc w:val="center"/>
        <w:rPr>
          <w:rFonts w:ascii="Times New Roman" w:hAnsi="Times New Roman" w:cs="Times New Roman"/>
          <w:b/>
          <w:sz w:val="28"/>
          <w:szCs w:val="28"/>
          <w:lang w:val="kk-KZ"/>
        </w:rPr>
      </w:pPr>
      <w:r w:rsidRPr="00D16DFC">
        <w:rPr>
          <w:rFonts w:ascii="Times New Roman" w:hAnsi="Times New Roman" w:cs="Times New Roman"/>
          <w:b/>
          <w:sz w:val="28"/>
          <w:szCs w:val="28"/>
          <w:lang w:val="kk-KZ"/>
        </w:rPr>
        <w:t>Foreign trade in agro-industrial sector</w:t>
      </w:r>
    </w:p>
    <w:p w:rsidR="00D16DFC" w:rsidRPr="00D16DFC" w:rsidRDefault="00D16DFC" w:rsidP="00D16DFC">
      <w:pPr>
        <w:spacing w:after="0" w:line="240" w:lineRule="auto"/>
        <w:jc w:val="center"/>
        <w:rPr>
          <w:rFonts w:ascii="Times New Roman" w:hAnsi="Times New Roman" w:cs="Times New Roman"/>
          <w:b/>
          <w:sz w:val="28"/>
          <w:szCs w:val="28"/>
          <w:lang w:val="kk-KZ"/>
        </w:rPr>
      </w:pPr>
    </w:p>
    <w:p w:rsidR="003A3428" w:rsidRPr="00D16DFC" w:rsidRDefault="003A3428" w:rsidP="00D16DFC">
      <w:pPr>
        <w:spacing w:after="0" w:line="240" w:lineRule="auto"/>
        <w:jc w:val="center"/>
        <w:rPr>
          <w:rFonts w:ascii="Times New Roman" w:hAnsi="Times New Roman" w:cs="Times New Roman"/>
          <w:b/>
          <w:sz w:val="28"/>
          <w:szCs w:val="28"/>
          <w:lang w:val="kk-KZ"/>
        </w:rPr>
      </w:pPr>
      <w:r w:rsidRPr="00D16DFC">
        <w:rPr>
          <w:rFonts w:ascii="Times New Roman" w:hAnsi="Times New Roman" w:cs="Times New Roman"/>
          <w:b/>
          <w:sz w:val="28"/>
          <w:szCs w:val="28"/>
          <w:lang w:val="kk-KZ"/>
        </w:rPr>
        <w:t>Korzhynbayeva Zarina Zharkynbekovna</w:t>
      </w:r>
    </w:p>
    <w:p w:rsidR="00384807" w:rsidRDefault="003A3428" w:rsidP="00D16DFC">
      <w:pPr>
        <w:spacing w:after="0" w:line="240" w:lineRule="auto"/>
        <w:jc w:val="center"/>
        <w:rPr>
          <w:rFonts w:ascii="Times New Roman" w:hAnsi="Times New Roman" w:cs="Times New Roman"/>
          <w:b/>
          <w:sz w:val="28"/>
          <w:szCs w:val="28"/>
          <w:lang w:val="kk-KZ"/>
        </w:rPr>
      </w:pPr>
      <w:r w:rsidRPr="00D16DFC">
        <w:rPr>
          <w:rFonts w:ascii="Times New Roman" w:hAnsi="Times New Roman" w:cs="Times New Roman"/>
          <w:b/>
          <w:sz w:val="28"/>
          <w:szCs w:val="28"/>
          <w:lang w:val="kk-KZ"/>
        </w:rPr>
        <w:t>Korkyt Ata University of Kyzylorda, Kyzylorda, Kazakhstan</w:t>
      </w:r>
    </w:p>
    <w:p w:rsidR="00D16DFC" w:rsidRPr="00D16DFC" w:rsidRDefault="00D16DFC" w:rsidP="00D16DFC">
      <w:pPr>
        <w:spacing w:after="0" w:line="240" w:lineRule="auto"/>
        <w:jc w:val="center"/>
        <w:rPr>
          <w:rFonts w:ascii="Times New Roman" w:hAnsi="Times New Roman" w:cs="Times New Roman"/>
          <w:b/>
          <w:sz w:val="28"/>
          <w:szCs w:val="28"/>
          <w:lang w:val="kk-KZ"/>
        </w:rPr>
      </w:pPr>
    </w:p>
    <w:p w:rsidR="003A3428" w:rsidRPr="00D16DFC" w:rsidRDefault="003A3428" w:rsidP="00D16DFC">
      <w:pPr>
        <w:pStyle w:val="a3"/>
        <w:spacing w:after="0" w:line="240" w:lineRule="auto"/>
        <w:ind w:left="0" w:firstLine="708"/>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The World Trade Organization (hereinafter - WTO) was established in 1994 according to the agreements made at the conference in Marrakech. It should be noted that the formation of this organization was the result of many years of negotiations between commissioners from different countries, which ended only in late 1993. In connection with the establishment of the organization, a number of legal documents were concluded, among which the basic ones are the General Agreement on Trade in Goods (GATT), the General Agreement on Trade in Services (GATS) and the Agreement on Trade-Related Aspects of Intellectual Property Rights (TRIPS). Today, the organization brings together more than 160 countries, most of which joined it in the 90s of last century.</w:t>
      </w:r>
    </w:p>
    <w:p w:rsidR="003A3428" w:rsidRPr="00D16DFC" w:rsidRDefault="003A3428" w:rsidP="00D16DFC">
      <w:pPr>
        <w:pStyle w:val="a3"/>
        <w:spacing w:after="0" w:line="240" w:lineRule="auto"/>
        <w:ind w:left="0" w:firstLine="708"/>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Kazakhstan actively trades agricultural products with the countries of the region. At the same time, from the countries having common borders with the republic, the WTO members are: Russian Federation, China and Kyrgyzstan. Among the countries located in geographical proximity to Kazakhstan, the members of the organization are Tajikistan, Afghanistan and Mongolia. In order to analyze the current situation, the parameters of foreign trade in key crop and livestock products are discussed below, taking into account their categorization in international trade statistics. </w:t>
      </w:r>
    </w:p>
    <w:p w:rsidR="000D6FA3" w:rsidRPr="00D16DFC" w:rsidRDefault="003A3428" w:rsidP="00D16DFC">
      <w:pPr>
        <w:pStyle w:val="a3"/>
        <w:spacing w:after="0" w:line="240" w:lineRule="auto"/>
        <w:ind w:left="0"/>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Figure 1 - Foreign trade dynamics in live cattle, million USD</w:t>
      </w:r>
    </w:p>
    <w:p w:rsidR="000D6FA3" w:rsidRPr="00D16DFC" w:rsidRDefault="00D16DFC" w:rsidP="00D16DFC">
      <w:pPr>
        <w:pStyle w:val="a3"/>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D16DFC">
        <w:rPr>
          <w:rFonts w:ascii="Times New Roman" w:hAnsi="Times New Roman" w:cs="Times New Roman"/>
          <w:noProof/>
          <w:sz w:val="28"/>
          <w:szCs w:val="28"/>
          <w:lang w:eastAsia="ru-RU"/>
        </w:rPr>
        <w:drawing>
          <wp:inline distT="0" distB="0" distL="0" distR="0">
            <wp:extent cx="5415148" cy="1531917"/>
            <wp:effectExtent l="0" t="0" r="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2C3704">
        <w:rPr>
          <w:rFonts w:ascii="Times New Roman" w:hAnsi="Times New Roman" w:cs="Times New Roman"/>
          <w:sz w:val="28"/>
          <w:szCs w:val="28"/>
          <w:lang w:val="kk-KZ"/>
        </w:rPr>
        <w:t xml:space="preserve">           </w:t>
      </w:r>
    </w:p>
    <w:p w:rsidR="002C3704" w:rsidRDefault="002C3704" w:rsidP="00D16DFC">
      <w:pPr>
        <w:pStyle w:val="a3"/>
        <w:spacing w:after="0" w:line="240" w:lineRule="auto"/>
        <w:ind w:left="0" w:firstLine="69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C3704">
        <w:rPr>
          <w:rFonts w:ascii="Times New Roman" w:hAnsi="Times New Roman" w:cs="Times New Roman"/>
          <w:noProof/>
          <w:sz w:val="28"/>
          <w:szCs w:val="28"/>
          <w:lang w:eastAsia="ru-RU"/>
        </w:rPr>
        <w:drawing>
          <wp:inline distT="0" distB="0" distL="0" distR="0">
            <wp:extent cx="2754394" cy="380010"/>
            <wp:effectExtent l="19050" t="0" r="7856"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65107" cy="381488"/>
                    </a:xfrm>
                    <a:prstGeom prst="rect">
                      <a:avLst/>
                    </a:prstGeom>
                    <a:noFill/>
                    <a:ln w="9525">
                      <a:noFill/>
                      <a:miter lim="800000"/>
                      <a:headEnd/>
                      <a:tailEnd/>
                    </a:ln>
                  </pic:spPr>
                </pic:pic>
              </a:graphicData>
            </a:graphic>
          </wp:inline>
        </w:drawing>
      </w:r>
    </w:p>
    <w:p w:rsidR="003A3428" w:rsidRPr="00D16DFC" w:rsidRDefault="003A3428" w:rsidP="00D16DFC">
      <w:pPr>
        <w:pStyle w:val="a3"/>
        <w:spacing w:after="0" w:line="240" w:lineRule="auto"/>
        <w:ind w:left="0" w:firstLine="696"/>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Source: Compiled on the basis of International Trade Centre data. </w:t>
      </w:r>
    </w:p>
    <w:p w:rsidR="003A3428" w:rsidRPr="00D16DFC" w:rsidRDefault="003A3428" w:rsidP="00D16DFC">
      <w:pPr>
        <w:pStyle w:val="a3"/>
        <w:spacing w:after="0" w:line="240" w:lineRule="auto"/>
        <w:ind w:left="0" w:firstLine="696"/>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As can be seen from Figure 1, over the period 2015-2019 there was an increase in trade volumes of live cattle. At the same time, at the end of 2019, the amount of exports for the first time surpassed the amount of imports. The difference between the figures was 7.1 million USD. Meanwhile, at the beginning of the period there was a multiple excess of imports over exports. The change in the situation indicates a rapid increase in the interest of farmers in selling livestock to foreign consumers. </w:t>
      </w:r>
    </w:p>
    <w:p w:rsidR="000D6FA3" w:rsidRPr="002C3704" w:rsidRDefault="003A3428" w:rsidP="00D16DFC">
      <w:pPr>
        <w:pStyle w:val="a3"/>
        <w:spacing w:after="0" w:line="240" w:lineRule="auto"/>
        <w:ind w:left="0" w:firstLine="696"/>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ab/>
        <w:t>Analysis of distribution of animal export shows that Uzbekistan is leading among the countries to which it is supplied with a huge gap. Figure 2 - Distribution of live cat</w:t>
      </w:r>
      <w:r w:rsidR="00D16DFC" w:rsidRPr="00D16DFC">
        <w:rPr>
          <w:rFonts w:ascii="Times New Roman" w:hAnsi="Times New Roman" w:cs="Times New Roman"/>
          <w:sz w:val="28"/>
          <w:szCs w:val="28"/>
          <w:lang w:val="en-US"/>
        </w:rPr>
        <w:t>tle export by country for 2019</w:t>
      </w:r>
      <w:r w:rsidRPr="00D16DFC">
        <w:rPr>
          <w:rFonts w:ascii="Times New Roman" w:hAnsi="Times New Roman" w:cs="Times New Roman"/>
          <w:sz w:val="28"/>
          <w:szCs w:val="28"/>
          <w:lang w:val="en-US"/>
        </w:rPr>
        <w:t>%</w:t>
      </w:r>
    </w:p>
    <w:p w:rsidR="000D6FA3" w:rsidRPr="002C3704" w:rsidRDefault="000D6FA3" w:rsidP="00D16DFC">
      <w:pPr>
        <w:pStyle w:val="a3"/>
        <w:spacing w:after="0" w:line="240" w:lineRule="auto"/>
        <w:ind w:left="0"/>
        <w:jc w:val="both"/>
        <w:rPr>
          <w:rFonts w:ascii="Times New Roman" w:hAnsi="Times New Roman" w:cs="Times New Roman"/>
          <w:sz w:val="28"/>
          <w:szCs w:val="28"/>
          <w:lang w:val="en-US"/>
        </w:rPr>
      </w:pPr>
    </w:p>
    <w:p w:rsidR="00BD6220" w:rsidRPr="002C3704" w:rsidRDefault="002C3704" w:rsidP="00D16DFC">
      <w:pPr>
        <w:pStyle w:val="a3"/>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kk-KZ"/>
        </w:rPr>
        <w:lastRenderedPageBreak/>
        <w:t xml:space="preserve">               </w:t>
      </w:r>
      <w:r w:rsidR="00BD6220">
        <w:rPr>
          <w:rFonts w:ascii="Times New Roman" w:hAnsi="Times New Roman" w:cs="Times New Roman"/>
          <w:noProof/>
          <w:sz w:val="28"/>
          <w:szCs w:val="28"/>
          <w:lang w:eastAsia="ru-RU"/>
        </w:rPr>
        <w:drawing>
          <wp:inline distT="0" distB="0" distL="0" distR="0">
            <wp:extent cx="5183233" cy="2018805"/>
            <wp:effectExtent l="19050" t="0" r="17417" b="495"/>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6220" w:rsidRPr="002C3704" w:rsidRDefault="00BD6220" w:rsidP="00D16DFC">
      <w:pPr>
        <w:pStyle w:val="a3"/>
        <w:spacing w:after="0" w:line="240" w:lineRule="auto"/>
        <w:ind w:left="0"/>
        <w:jc w:val="both"/>
        <w:rPr>
          <w:rFonts w:ascii="Times New Roman" w:hAnsi="Times New Roman" w:cs="Times New Roman"/>
          <w:sz w:val="28"/>
          <w:szCs w:val="28"/>
          <w:lang w:val="en-US"/>
        </w:rPr>
      </w:pPr>
    </w:p>
    <w:p w:rsidR="003A3428" w:rsidRPr="00D16DFC" w:rsidRDefault="0061623B" w:rsidP="00D16DFC">
      <w:pPr>
        <w:pStyle w:val="a3"/>
        <w:spacing w:after="0" w:line="240" w:lineRule="auto"/>
        <w:ind w:left="0"/>
        <w:jc w:val="both"/>
        <w:rPr>
          <w:rFonts w:ascii="Times New Roman" w:hAnsi="Times New Roman" w:cs="Times New Roman"/>
          <w:sz w:val="28"/>
          <w:szCs w:val="28"/>
          <w:lang w:val="kk-KZ"/>
        </w:rPr>
      </w:pPr>
      <w:r w:rsidRPr="00D16DFC">
        <w:rPr>
          <w:rFonts w:ascii="Times New Roman" w:hAnsi="Times New Roman" w:cs="Times New Roman"/>
          <w:sz w:val="28"/>
          <w:szCs w:val="28"/>
          <w:lang w:val="kk-KZ"/>
        </w:rPr>
        <w:t xml:space="preserve">  </w:t>
      </w:r>
      <w:r w:rsidR="003A3428" w:rsidRPr="00D16DFC">
        <w:rPr>
          <w:rFonts w:ascii="Times New Roman" w:hAnsi="Times New Roman" w:cs="Times New Roman"/>
          <w:sz w:val="28"/>
          <w:szCs w:val="28"/>
          <w:lang w:val="kk-KZ"/>
        </w:rPr>
        <w:t xml:space="preserve">Source: Compiled on the basis of International Trade Centre data. </w:t>
      </w:r>
    </w:p>
    <w:p w:rsidR="003A3428" w:rsidRPr="00D16DFC" w:rsidRDefault="003A3428" w:rsidP="00D16DFC">
      <w:pPr>
        <w:pStyle w:val="a3"/>
        <w:spacing w:after="0" w:line="240" w:lineRule="auto"/>
        <w:ind w:left="0"/>
        <w:jc w:val="both"/>
        <w:rPr>
          <w:rFonts w:ascii="Times New Roman" w:hAnsi="Times New Roman" w:cs="Times New Roman"/>
          <w:sz w:val="28"/>
          <w:szCs w:val="28"/>
          <w:lang w:val="kk-KZ"/>
        </w:rPr>
      </w:pPr>
      <w:r w:rsidRPr="00D16DFC">
        <w:rPr>
          <w:rFonts w:ascii="Times New Roman" w:hAnsi="Times New Roman" w:cs="Times New Roman"/>
          <w:sz w:val="28"/>
          <w:szCs w:val="28"/>
          <w:lang w:val="kk-KZ"/>
        </w:rPr>
        <w:t xml:space="preserve">It should be noted that in recent years the neighboring republic has been actively developing the production of finished food products and, accordingly, has a high need to ensure its uninterrupted operation. This may be one of the reasons for the observed increase in cattle export. </w:t>
      </w:r>
    </w:p>
    <w:p w:rsidR="003A3428" w:rsidRPr="00D16DFC" w:rsidRDefault="003A3428" w:rsidP="00D16DFC">
      <w:pPr>
        <w:pStyle w:val="a3"/>
        <w:spacing w:after="0" w:line="240" w:lineRule="auto"/>
        <w:ind w:left="0"/>
        <w:jc w:val="both"/>
        <w:rPr>
          <w:rFonts w:ascii="Times New Roman" w:hAnsi="Times New Roman" w:cs="Times New Roman"/>
          <w:sz w:val="28"/>
          <w:szCs w:val="28"/>
          <w:lang w:val="kk-KZ"/>
        </w:rPr>
      </w:pPr>
      <w:r w:rsidRPr="00D16DFC">
        <w:rPr>
          <w:rFonts w:ascii="Times New Roman" w:hAnsi="Times New Roman" w:cs="Times New Roman"/>
          <w:sz w:val="28"/>
          <w:szCs w:val="28"/>
          <w:lang w:val="kk-KZ"/>
        </w:rPr>
        <w:t xml:space="preserve">In its turn, the structure of animal import by country looks as follows. </w:t>
      </w:r>
    </w:p>
    <w:p w:rsidR="000D6FA3" w:rsidRDefault="003A3428" w:rsidP="00D16DFC">
      <w:pPr>
        <w:pStyle w:val="a3"/>
        <w:spacing w:after="0" w:line="240" w:lineRule="auto"/>
        <w:ind w:left="0" w:firstLine="696"/>
        <w:jc w:val="both"/>
        <w:rPr>
          <w:rFonts w:ascii="Times New Roman" w:hAnsi="Times New Roman" w:cs="Times New Roman"/>
          <w:sz w:val="28"/>
          <w:szCs w:val="28"/>
          <w:lang w:val="en-US"/>
        </w:rPr>
      </w:pPr>
      <w:r w:rsidRPr="00D16DFC">
        <w:rPr>
          <w:rFonts w:ascii="Times New Roman" w:hAnsi="Times New Roman" w:cs="Times New Roman"/>
          <w:sz w:val="28"/>
          <w:szCs w:val="28"/>
          <w:lang w:val="kk-KZ"/>
        </w:rPr>
        <w:t>Figure 3 - Distribution of live cattle import by countries for 2019%</w:t>
      </w:r>
      <w:r w:rsidR="0061623B" w:rsidRPr="00D16DFC">
        <w:rPr>
          <w:rFonts w:ascii="Times New Roman" w:hAnsi="Times New Roman" w:cs="Times New Roman"/>
          <w:sz w:val="28"/>
          <w:szCs w:val="28"/>
          <w:lang w:val="kk-KZ"/>
        </w:rPr>
        <w:t xml:space="preserve">          </w:t>
      </w:r>
    </w:p>
    <w:p w:rsidR="00BD6220" w:rsidRDefault="00BD6220" w:rsidP="00D16DFC">
      <w:pPr>
        <w:pStyle w:val="a3"/>
        <w:spacing w:after="0" w:line="240" w:lineRule="auto"/>
        <w:ind w:left="0" w:firstLine="696"/>
        <w:jc w:val="both"/>
        <w:rPr>
          <w:rFonts w:ascii="Times New Roman" w:hAnsi="Times New Roman" w:cs="Times New Roman"/>
          <w:sz w:val="28"/>
          <w:szCs w:val="28"/>
          <w:lang w:val="en-US"/>
        </w:rPr>
      </w:pPr>
    </w:p>
    <w:p w:rsidR="00BD6220" w:rsidRPr="00BD6220" w:rsidRDefault="00BD6220" w:rsidP="00D16DFC">
      <w:pPr>
        <w:pStyle w:val="a3"/>
        <w:spacing w:after="0" w:line="240" w:lineRule="auto"/>
        <w:ind w:left="0" w:firstLine="696"/>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5143351" cy="2030681"/>
            <wp:effectExtent l="19050" t="0" r="19199" b="7669"/>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A3428" w:rsidRPr="00D16DFC" w:rsidRDefault="003A3428" w:rsidP="00D16DFC">
      <w:pPr>
        <w:pStyle w:val="a3"/>
        <w:spacing w:after="0" w:line="240" w:lineRule="auto"/>
        <w:ind w:left="0" w:firstLine="696"/>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Source: Compiled on the basis of International Trade Centre data. </w:t>
      </w:r>
    </w:p>
    <w:p w:rsidR="003A3428" w:rsidRPr="00D16DFC" w:rsidRDefault="003A3428" w:rsidP="00D16DFC">
      <w:pPr>
        <w:pStyle w:val="a3"/>
        <w:spacing w:after="0" w:line="240" w:lineRule="auto"/>
        <w:ind w:left="0" w:firstLine="696"/>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The above figure shows that imports are characterized by a more even distribution of flows. At the same time, the leading positions are occupied by the Russian Federation and Australia, as one of the main suppliers of breeding livestock in the world </w:t>
      </w:r>
      <w:proofErr w:type="gramStart"/>
      <w:r w:rsidRPr="00D16DFC">
        <w:rPr>
          <w:rFonts w:ascii="Times New Roman" w:hAnsi="Times New Roman" w:cs="Times New Roman"/>
          <w:sz w:val="28"/>
          <w:szCs w:val="28"/>
          <w:lang w:val="en-US"/>
        </w:rPr>
        <w:t>market[</w:t>
      </w:r>
      <w:proofErr w:type="gramEnd"/>
      <w:r w:rsidRPr="00D16DFC">
        <w:rPr>
          <w:rFonts w:ascii="Times New Roman" w:hAnsi="Times New Roman" w:cs="Times New Roman"/>
          <w:sz w:val="28"/>
          <w:szCs w:val="28"/>
          <w:lang w:val="en-US"/>
        </w:rPr>
        <w:t xml:space="preserve">1]. </w:t>
      </w:r>
    </w:p>
    <w:p w:rsidR="003A3428" w:rsidRPr="00D16DFC" w:rsidRDefault="003A3428" w:rsidP="00D16DFC">
      <w:pPr>
        <w:pStyle w:val="a3"/>
        <w:spacing w:after="0" w:line="240" w:lineRule="auto"/>
        <w:ind w:left="0" w:firstLine="696"/>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In the Republic of Kazakhstan, the state is taking various measures to support the subjects of </w:t>
      </w:r>
      <w:proofErr w:type="spellStart"/>
      <w:r w:rsidRPr="00D16DFC">
        <w:rPr>
          <w:rFonts w:ascii="Times New Roman" w:hAnsi="Times New Roman" w:cs="Times New Roman"/>
          <w:sz w:val="28"/>
          <w:szCs w:val="28"/>
          <w:lang w:val="en-US"/>
        </w:rPr>
        <w:t>agroindustrial</w:t>
      </w:r>
      <w:proofErr w:type="spellEnd"/>
      <w:r w:rsidRPr="00D16DFC">
        <w:rPr>
          <w:rFonts w:ascii="Times New Roman" w:hAnsi="Times New Roman" w:cs="Times New Roman"/>
          <w:sz w:val="28"/>
          <w:szCs w:val="28"/>
          <w:lang w:val="en-US"/>
        </w:rPr>
        <w:t xml:space="preserve"> complex, aimed at solving their urgent problems and development tasks. These measures can be both financial and non-financial in nature. It should be noted that producers of agricultural products are entitled to various tax benefits. In particular, taxable income of legal entities that produce these products or aquatic culture products (fish farming) reduced by the amount of income, expenses and losses determined by the Tax Code is subject to income tax at a reduced rate of 10%. At the same time, it is established that the benefit may be applied if income is derived from such activity. At the same time, agrarians may apply a special tax regime for producers of agricultural products and agricultural cooperatives. This regime provides a special procedure for calculation of income taxes (except for </w:t>
      </w:r>
      <w:proofErr w:type="gramStart"/>
      <w:r w:rsidRPr="00D16DFC">
        <w:rPr>
          <w:rFonts w:ascii="Times New Roman" w:hAnsi="Times New Roman" w:cs="Times New Roman"/>
          <w:sz w:val="28"/>
          <w:szCs w:val="28"/>
          <w:lang w:val="en-US"/>
        </w:rPr>
        <w:lastRenderedPageBreak/>
        <w:t>withheld</w:t>
      </w:r>
      <w:proofErr w:type="gramEnd"/>
      <w:r w:rsidRPr="00D16DFC">
        <w:rPr>
          <w:rFonts w:ascii="Times New Roman" w:hAnsi="Times New Roman" w:cs="Times New Roman"/>
          <w:sz w:val="28"/>
          <w:szCs w:val="28"/>
          <w:lang w:val="en-US"/>
        </w:rPr>
        <w:t xml:space="preserve"> at source payment), social tax, property tax, vehicle tax. Taxpayers under this regime can, in the final calculation of amounts to be paid to the state budget, reduce their value (for these types of taxes) by 70%. In addition to this, the tax authorities can reduce their value by70%. The legislation provides for the possibility of applying a special tax regime for peasant or farm households. However, it should be noted that an obligatory condition for the application of this regime is the availability of land plots on the territory of the country on the rights of private ownership or land use. In this case a farmer can apply a special order individual income tax from the income of a peasant or a farm; land tax and/or payment for the use of land plots, taxes on vehicles and property on assets used in the activity of the farm; social tax and payment for emissions into the environment, taking into account the conditions established by the regime. In addition, subjects of the agro-industrial complex may apply other preferential regimes of taxation, as well as preferences provided for by tax legislation. </w:t>
      </w:r>
    </w:p>
    <w:p w:rsidR="003A3428" w:rsidRPr="00D16DFC" w:rsidRDefault="003A3428" w:rsidP="00D16DFC">
      <w:pPr>
        <w:pStyle w:val="a3"/>
        <w:spacing w:after="0" w:line="240" w:lineRule="auto"/>
        <w:ind w:left="0" w:firstLine="696"/>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ab/>
        <w:t xml:space="preserve">In addition to the above benefits, the government actively subsidizes agricultural producers. At the same time, obligations assumed by the republic in connection with its accession to the WTO are taken into account. In particular, it is unacceptable to directly subsidize the export supplies of domestic producers, the possibility of subsidizing the industry is limited, which may lead to distortions in sales prices among its subjects. Nevertheless, significant amounts of financial resources are allocated from the state budget on an annual basis for representatives of the agro-industrial complex. For example, according to the Report on the implementation of the State Program for Development of the Agro-industrial Complex of the Republic of Kazakhstan for 2017-2021, the following areas of funds were allocated from the treasury in 2018: </w:t>
      </w:r>
    </w:p>
    <w:p w:rsidR="003A3428" w:rsidRPr="00D16DFC" w:rsidRDefault="003A3428" w:rsidP="00D16DFC">
      <w:pPr>
        <w:spacing w:after="0" w:line="240" w:lineRule="auto"/>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 </w:t>
      </w:r>
      <w:proofErr w:type="gramStart"/>
      <w:r w:rsidRPr="00D16DFC">
        <w:rPr>
          <w:rFonts w:ascii="Times New Roman" w:hAnsi="Times New Roman" w:cs="Times New Roman"/>
          <w:sz w:val="28"/>
          <w:szCs w:val="28"/>
          <w:lang w:val="en-US"/>
        </w:rPr>
        <w:t>investment</w:t>
      </w:r>
      <w:proofErr w:type="gramEnd"/>
      <w:r w:rsidRPr="00D16DFC">
        <w:rPr>
          <w:rFonts w:ascii="Times New Roman" w:hAnsi="Times New Roman" w:cs="Times New Roman"/>
          <w:sz w:val="28"/>
          <w:szCs w:val="28"/>
          <w:lang w:val="en-US"/>
        </w:rPr>
        <w:t xml:space="preserve"> subsidies - 53,692 million </w:t>
      </w:r>
      <w:proofErr w:type="spellStart"/>
      <w:r w:rsidRPr="00D16DFC">
        <w:rPr>
          <w:rFonts w:ascii="Times New Roman" w:hAnsi="Times New Roman" w:cs="Times New Roman"/>
          <w:sz w:val="28"/>
          <w:szCs w:val="28"/>
          <w:lang w:val="en-US"/>
        </w:rPr>
        <w:t>tenge</w:t>
      </w:r>
      <w:proofErr w:type="spellEnd"/>
      <w:r w:rsidRPr="00D16DFC">
        <w:rPr>
          <w:rFonts w:ascii="Times New Roman" w:hAnsi="Times New Roman" w:cs="Times New Roman"/>
          <w:sz w:val="28"/>
          <w:szCs w:val="28"/>
          <w:lang w:val="en-US"/>
        </w:rPr>
        <w:t xml:space="preserve">; </w:t>
      </w:r>
    </w:p>
    <w:p w:rsidR="00CD0697" w:rsidRPr="00D16DFC" w:rsidRDefault="003A3428" w:rsidP="00D16DFC">
      <w:pPr>
        <w:spacing w:after="0" w:line="240" w:lineRule="auto"/>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 </w:t>
      </w:r>
      <w:proofErr w:type="gramStart"/>
      <w:r w:rsidRPr="00D16DFC">
        <w:rPr>
          <w:rFonts w:ascii="Times New Roman" w:hAnsi="Times New Roman" w:cs="Times New Roman"/>
          <w:sz w:val="28"/>
          <w:szCs w:val="28"/>
          <w:lang w:val="en-US"/>
        </w:rPr>
        <w:t>increasing</w:t>
      </w:r>
      <w:proofErr w:type="gramEnd"/>
      <w:r w:rsidRPr="00D16DFC">
        <w:rPr>
          <w:rFonts w:ascii="Times New Roman" w:hAnsi="Times New Roman" w:cs="Times New Roman"/>
          <w:sz w:val="28"/>
          <w:szCs w:val="28"/>
          <w:lang w:val="en-US"/>
        </w:rPr>
        <w:t xml:space="preserve"> yield and quality of crop production - KZT 10,199 million;</w:t>
      </w:r>
    </w:p>
    <w:p w:rsidR="003A3428" w:rsidRPr="00D16DFC" w:rsidRDefault="003A3428" w:rsidP="00D16DFC">
      <w:pPr>
        <w:pStyle w:val="a3"/>
        <w:spacing w:after="0" w:line="240" w:lineRule="auto"/>
        <w:ind w:left="0"/>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 </w:t>
      </w:r>
      <w:proofErr w:type="gramStart"/>
      <w:r w:rsidRPr="00D16DFC">
        <w:rPr>
          <w:rFonts w:ascii="Times New Roman" w:hAnsi="Times New Roman" w:cs="Times New Roman"/>
          <w:sz w:val="28"/>
          <w:szCs w:val="28"/>
          <w:lang w:val="en-US"/>
        </w:rPr>
        <w:t>subsidizing</w:t>
      </w:r>
      <w:proofErr w:type="gramEnd"/>
      <w:r w:rsidRPr="00D16DFC">
        <w:rPr>
          <w:rFonts w:ascii="Times New Roman" w:hAnsi="Times New Roman" w:cs="Times New Roman"/>
          <w:sz w:val="28"/>
          <w:szCs w:val="28"/>
          <w:lang w:val="en-US"/>
        </w:rPr>
        <w:t xml:space="preserve"> the cost of laying and growing (including restoration) of perennial plantings of fruit and berry crops and grapes - 458 million </w:t>
      </w:r>
      <w:proofErr w:type="spellStart"/>
      <w:r w:rsidRPr="00D16DFC">
        <w:rPr>
          <w:rFonts w:ascii="Times New Roman" w:hAnsi="Times New Roman" w:cs="Times New Roman"/>
          <w:sz w:val="28"/>
          <w:szCs w:val="28"/>
          <w:lang w:val="en-US"/>
        </w:rPr>
        <w:t>tenge</w:t>
      </w:r>
      <w:proofErr w:type="spellEnd"/>
      <w:r w:rsidRPr="00D16DFC">
        <w:rPr>
          <w:rFonts w:ascii="Times New Roman" w:hAnsi="Times New Roman" w:cs="Times New Roman"/>
          <w:sz w:val="28"/>
          <w:szCs w:val="28"/>
          <w:lang w:val="en-US"/>
        </w:rPr>
        <w:t xml:space="preserve">; </w:t>
      </w:r>
    </w:p>
    <w:p w:rsidR="003A3428" w:rsidRPr="00D16DFC" w:rsidRDefault="003A3428" w:rsidP="00D16DFC">
      <w:pPr>
        <w:pStyle w:val="a3"/>
        <w:spacing w:after="0" w:line="240" w:lineRule="auto"/>
        <w:ind w:left="0"/>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 </w:t>
      </w:r>
      <w:proofErr w:type="spellStart"/>
      <w:proofErr w:type="gramStart"/>
      <w:r w:rsidRPr="00D16DFC">
        <w:rPr>
          <w:rFonts w:ascii="Times New Roman" w:hAnsi="Times New Roman" w:cs="Times New Roman"/>
          <w:sz w:val="28"/>
          <w:szCs w:val="28"/>
          <w:lang w:val="en-US"/>
        </w:rPr>
        <w:t>subsidising</w:t>
      </w:r>
      <w:proofErr w:type="spellEnd"/>
      <w:proofErr w:type="gramEnd"/>
      <w:r w:rsidRPr="00D16DFC">
        <w:rPr>
          <w:rFonts w:ascii="Times New Roman" w:hAnsi="Times New Roman" w:cs="Times New Roman"/>
          <w:sz w:val="28"/>
          <w:szCs w:val="28"/>
          <w:lang w:val="en-US"/>
        </w:rPr>
        <w:t xml:space="preserve"> the cost of mineral </w:t>
      </w:r>
      <w:proofErr w:type="spellStart"/>
      <w:r w:rsidRPr="00D16DFC">
        <w:rPr>
          <w:rFonts w:ascii="Times New Roman" w:hAnsi="Times New Roman" w:cs="Times New Roman"/>
          <w:sz w:val="28"/>
          <w:szCs w:val="28"/>
          <w:lang w:val="en-US"/>
        </w:rPr>
        <w:t>fertilisers</w:t>
      </w:r>
      <w:proofErr w:type="spellEnd"/>
      <w:r w:rsidRPr="00D16DFC">
        <w:rPr>
          <w:rFonts w:ascii="Times New Roman" w:hAnsi="Times New Roman" w:cs="Times New Roman"/>
          <w:sz w:val="28"/>
          <w:szCs w:val="28"/>
          <w:lang w:val="en-US"/>
        </w:rPr>
        <w:t xml:space="preserve"> - KZT 21,858 million; </w:t>
      </w:r>
    </w:p>
    <w:p w:rsidR="003A3428" w:rsidRPr="00D16DFC" w:rsidRDefault="003A3428" w:rsidP="00D16DFC">
      <w:pPr>
        <w:pStyle w:val="a3"/>
        <w:spacing w:after="0" w:line="240" w:lineRule="auto"/>
        <w:ind w:left="0"/>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 </w:t>
      </w:r>
      <w:proofErr w:type="gramStart"/>
      <w:r w:rsidRPr="00D16DFC">
        <w:rPr>
          <w:rFonts w:ascii="Times New Roman" w:hAnsi="Times New Roman" w:cs="Times New Roman"/>
          <w:sz w:val="28"/>
          <w:szCs w:val="28"/>
          <w:lang w:val="en-US"/>
        </w:rPr>
        <w:t>subsidizing</w:t>
      </w:r>
      <w:proofErr w:type="gramEnd"/>
      <w:r w:rsidRPr="00D16DFC">
        <w:rPr>
          <w:rFonts w:ascii="Times New Roman" w:hAnsi="Times New Roman" w:cs="Times New Roman"/>
          <w:sz w:val="28"/>
          <w:szCs w:val="28"/>
          <w:lang w:val="en-US"/>
        </w:rPr>
        <w:t xml:space="preserve"> the cost of purchasing pesticides, </w:t>
      </w:r>
      <w:proofErr w:type="spellStart"/>
      <w:r w:rsidRPr="00D16DFC">
        <w:rPr>
          <w:rFonts w:ascii="Times New Roman" w:hAnsi="Times New Roman" w:cs="Times New Roman"/>
          <w:sz w:val="28"/>
          <w:szCs w:val="28"/>
          <w:lang w:val="en-US"/>
        </w:rPr>
        <w:t>biopreparations</w:t>
      </w:r>
      <w:proofErr w:type="spellEnd"/>
      <w:r w:rsidRPr="00D16DFC">
        <w:rPr>
          <w:rFonts w:ascii="Times New Roman" w:hAnsi="Times New Roman" w:cs="Times New Roman"/>
          <w:sz w:val="28"/>
          <w:szCs w:val="28"/>
          <w:lang w:val="en-US"/>
        </w:rPr>
        <w:t xml:space="preserve"> (</w:t>
      </w:r>
      <w:proofErr w:type="spellStart"/>
      <w:r w:rsidRPr="00D16DFC">
        <w:rPr>
          <w:rFonts w:ascii="Times New Roman" w:hAnsi="Times New Roman" w:cs="Times New Roman"/>
          <w:sz w:val="28"/>
          <w:szCs w:val="28"/>
          <w:lang w:val="en-US"/>
        </w:rPr>
        <w:t>bioagents</w:t>
      </w:r>
      <w:proofErr w:type="spellEnd"/>
      <w:r w:rsidRPr="00D16DFC">
        <w:rPr>
          <w:rFonts w:ascii="Times New Roman" w:hAnsi="Times New Roman" w:cs="Times New Roman"/>
          <w:sz w:val="28"/>
          <w:szCs w:val="28"/>
          <w:lang w:val="en-US"/>
        </w:rPr>
        <w:t xml:space="preserve">) - KZT 20,754 million; </w:t>
      </w:r>
    </w:p>
    <w:p w:rsidR="003A3428" w:rsidRPr="00D16DFC" w:rsidRDefault="003A3428" w:rsidP="00D16DFC">
      <w:pPr>
        <w:pStyle w:val="a3"/>
        <w:spacing w:after="0" w:line="240" w:lineRule="auto"/>
        <w:ind w:left="0"/>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 </w:t>
      </w:r>
      <w:proofErr w:type="gramStart"/>
      <w:r w:rsidRPr="00D16DFC">
        <w:rPr>
          <w:rFonts w:ascii="Times New Roman" w:hAnsi="Times New Roman" w:cs="Times New Roman"/>
          <w:sz w:val="28"/>
          <w:szCs w:val="28"/>
          <w:lang w:val="en-US"/>
        </w:rPr>
        <w:t>subsidizing</w:t>
      </w:r>
      <w:proofErr w:type="gramEnd"/>
      <w:r w:rsidRPr="00D16DFC">
        <w:rPr>
          <w:rFonts w:ascii="Times New Roman" w:hAnsi="Times New Roman" w:cs="Times New Roman"/>
          <w:sz w:val="28"/>
          <w:szCs w:val="28"/>
          <w:lang w:val="en-US"/>
        </w:rPr>
        <w:t xml:space="preserve"> the cost of quality expertise of fiber cotton and raw cotton - 72 </w:t>
      </w:r>
      <w:r w:rsidR="00D16DFC" w:rsidRPr="00D16DFC">
        <w:rPr>
          <w:rFonts w:ascii="Times New Roman" w:hAnsi="Times New Roman" w:cs="Times New Roman"/>
          <w:sz w:val="28"/>
          <w:szCs w:val="28"/>
          <w:lang w:val="en-US"/>
        </w:rPr>
        <w:t>million</w:t>
      </w:r>
      <w:r w:rsidR="00D16DFC">
        <w:rPr>
          <w:rFonts w:ascii="Times New Roman" w:hAnsi="Times New Roman" w:cs="Times New Roman"/>
          <w:sz w:val="28"/>
          <w:szCs w:val="28"/>
          <w:lang w:val="en-US"/>
        </w:rPr>
        <w:t xml:space="preserve"> </w:t>
      </w:r>
      <w:proofErr w:type="spellStart"/>
      <w:r w:rsidR="00D16DFC">
        <w:rPr>
          <w:rFonts w:ascii="Times New Roman" w:hAnsi="Times New Roman" w:cs="Times New Roman"/>
          <w:sz w:val="28"/>
          <w:szCs w:val="28"/>
          <w:lang w:val="en-US"/>
        </w:rPr>
        <w:t>t</w:t>
      </w:r>
      <w:r w:rsidRPr="00D16DFC">
        <w:rPr>
          <w:rFonts w:ascii="Times New Roman" w:hAnsi="Times New Roman" w:cs="Times New Roman"/>
          <w:sz w:val="28"/>
          <w:szCs w:val="28"/>
          <w:lang w:val="en-US"/>
        </w:rPr>
        <w:t>enge</w:t>
      </w:r>
      <w:proofErr w:type="spellEnd"/>
      <w:r w:rsidRPr="00D16DFC">
        <w:rPr>
          <w:rFonts w:ascii="Times New Roman" w:hAnsi="Times New Roman" w:cs="Times New Roman"/>
          <w:sz w:val="28"/>
          <w:szCs w:val="28"/>
          <w:lang w:val="en-US"/>
        </w:rPr>
        <w:t xml:space="preserve">; </w:t>
      </w:r>
    </w:p>
    <w:p w:rsidR="003A3428" w:rsidRPr="00D16DFC" w:rsidRDefault="003A3428" w:rsidP="00D16DFC">
      <w:pPr>
        <w:pStyle w:val="a3"/>
        <w:spacing w:after="0" w:line="240" w:lineRule="auto"/>
        <w:ind w:left="0"/>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 </w:t>
      </w:r>
      <w:proofErr w:type="gramStart"/>
      <w:r w:rsidRPr="00D16DFC">
        <w:rPr>
          <w:rFonts w:ascii="Times New Roman" w:hAnsi="Times New Roman" w:cs="Times New Roman"/>
          <w:sz w:val="28"/>
          <w:szCs w:val="28"/>
          <w:lang w:val="en-US"/>
        </w:rPr>
        <w:t>subsidization</w:t>
      </w:r>
      <w:proofErr w:type="gramEnd"/>
      <w:r w:rsidRPr="00D16DFC">
        <w:rPr>
          <w:rFonts w:ascii="Times New Roman" w:hAnsi="Times New Roman" w:cs="Times New Roman"/>
          <w:sz w:val="28"/>
          <w:szCs w:val="28"/>
          <w:lang w:val="en-US"/>
        </w:rPr>
        <w:t xml:space="preserve"> of seed production support - KZT 8,364 million; </w:t>
      </w:r>
    </w:p>
    <w:p w:rsidR="003A3428" w:rsidRPr="00D16DFC" w:rsidRDefault="003A3428" w:rsidP="00D16DFC">
      <w:pPr>
        <w:pStyle w:val="a3"/>
        <w:spacing w:after="0" w:line="240" w:lineRule="auto"/>
        <w:ind w:left="0"/>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 </w:t>
      </w:r>
      <w:proofErr w:type="gramStart"/>
      <w:r w:rsidRPr="00D16DFC">
        <w:rPr>
          <w:rFonts w:ascii="Times New Roman" w:hAnsi="Times New Roman" w:cs="Times New Roman"/>
          <w:sz w:val="28"/>
          <w:szCs w:val="28"/>
          <w:lang w:val="en-US"/>
        </w:rPr>
        <w:t>subsidizing</w:t>
      </w:r>
      <w:proofErr w:type="gramEnd"/>
      <w:r w:rsidRPr="00D16DFC">
        <w:rPr>
          <w:rFonts w:ascii="Times New Roman" w:hAnsi="Times New Roman" w:cs="Times New Roman"/>
          <w:sz w:val="28"/>
          <w:szCs w:val="28"/>
          <w:lang w:val="en-US"/>
        </w:rPr>
        <w:t xml:space="preserve"> the cost of development of pedigree livestock breeding and improving the productivity and quality of livestock products - KZT 76,661 million; </w:t>
      </w:r>
    </w:p>
    <w:p w:rsidR="003A3428" w:rsidRPr="00D16DFC" w:rsidRDefault="003A3428" w:rsidP="00D16DFC">
      <w:pPr>
        <w:pStyle w:val="a3"/>
        <w:spacing w:after="0" w:line="240" w:lineRule="auto"/>
        <w:ind w:left="0"/>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 </w:t>
      </w:r>
      <w:proofErr w:type="gramStart"/>
      <w:r w:rsidRPr="00D16DFC">
        <w:rPr>
          <w:rFonts w:ascii="Times New Roman" w:hAnsi="Times New Roman" w:cs="Times New Roman"/>
          <w:sz w:val="28"/>
          <w:szCs w:val="28"/>
          <w:lang w:val="en-US"/>
        </w:rPr>
        <w:t>subsidizing</w:t>
      </w:r>
      <w:proofErr w:type="gramEnd"/>
      <w:r w:rsidRPr="00D16DFC">
        <w:rPr>
          <w:rFonts w:ascii="Times New Roman" w:hAnsi="Times New Roman" w:cs="Times New Roman"/>
          <w:sz w:val="28"/>
          <w:szCs w:val="28"/>
          <w:lang w:val="en-US"/>
        </w:rPr>
        <w:t xml:space="preserve"> the amount of VAT paid to the budget to procurement companies in the agricultural sector within the calculated VAT - KZT 670 </w:t>
      </w:r>
      <w:proofErr w:type="spellStart"/>
      <w:r w:rsidRPr="00D16DFC">
        <w:rPr>
          <w:rFonts w:ascii="Times New Roman" w:hAnsi="Times New Roman" w:cs="Times New Roman"/>
          <w:sz w:val="28"/>
          <w:szCs w:val="28"/>
          <w:lang w:val="en-US"/>
        </w:rPr>
        <w:t>mn</w:t>
      </w:r>
      <w:proofErr w:type="spellEnd"/>
      <w:r w:rsidRPr="00D16DFC">
        <w:rPr>
          <w:rFonts w:ascii="Times New Roman" w:hAnsi="Times New Roman" w:cs="Times New Roman"/>
          <w:sz w:val="28"/>
          <w:szCs w:val="28"/>
          <w:lang w:val="en-US"/>
        </w:rPr>
        <w:t xml:space="preserve">; </w:t>
      </w:r>
    </w:p>
    <w:p w:rsidR="003A3428" w:rsidRPr="00D16DFC" w:rsidRDefault="003A3428" w:rsidP="00D16DFC">
      <w:pPr>
        <w:pStyle w:val="a3"/>
        <w:spacing w:after="0" w:line="240" w:lineRule="auto"/>
        <w:ind w:left="0"/>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 subsidizing the cost of processing companies to purchase raw materials for production of milk powder, butter and cheese - KZT 3,421 </w:t>
      </w:r>
      <w:proofErr w:type="spellStart"/>
      <w:r w:rsidRPr="00D16DFC">
        <w:rPr>
          <w:rFonts w:ascii="Times New Roman" w:hAnsi="Times New Roman" w:cs="Times New Roman"/>
          <w:sz w:val="28"/>
          <w:szCs w:val="28"/>
          <w:lang w:val="en-US"/>
        </w:rPr>
        <w:t>mn</w:t>
      </w:r>
      <w:proofErr w:type="spellEnd"/>
      <w:r w:rsidRPr="00D16DFC">
        <w:rPr>
          <w:rFonts w:ascii="Times New Roman" w:hAnsi="Times New Roman" w:cs="Times New Roman"/>
          <w:sz w:val="28"/>
          <w:szCs w:val="28"/>
          <w:lang w:val="en-US"/>
        </w:rPr>
        <w:t xml:space="preserve">; </w:t>
      </w:r>
    </w:p>
    <w:p w:rsidR="003A3428" w:rsidRPr="00D16DFC" w:rsidRDefault="003A3428" w:rsidP="00D16DFC">
      <w:pPr>
        <w:pStyle w:val="a3"/>
        <w:spacing w:after="0" w:line="240" w:lineRule="auto"/>
        <w:ind w:left="0"/>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 subsidization of interest rate on credit and leasing obligations within the framework of financial rehabilitation of agricultural sector entities - KZT 12,025 million; </w:t>
      </w:r>
    </w:p>
    <w:p w:rsidR="003A3428" w:rsidRPr="00D16DFC" w:rsidRDefault="003A3428" w:rsidP="00D16DFC">
      <w:pPr>
        <w:pStyle w:val="a3"/>
        <w:spacing w:after="0" w:line="240" w:lineRule="auto"/>
        <w:ind w:left="0"/>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lastRenderedPageBreak/>
        <w:t xml:space="preserve">- subsidization of interest rates on crediting of agricultural subjects, as well as leasing for purchase of farm animals, machinery and technological equipment - 16 134 million </w:t>
      </w:r>
      <w:proofErr w:type="spellStart"/>
      <w:r w:rsidRPr="00D16DFC">
        <w:rPr>
          <w:rFonts w:ascii="Times New Roman" w:hAnsi="Times New Roman" w:cs="Times New Roman"/>
          <w:sz w:val="28"/>
          <w:szCs w:val="28"/>
          <w:lang w:val="en-US"/>
        </w:rPr>
        <w:t>tenge</w:t>
      </w:r>
      <w:proofErr w:type="spellEnd"/>
      <w:r w:rsidRPr="00D16DFC">
        <w:rPr>
          <w:rFonts w:ascii="Times New Roman" w:hAnsi="Times New Roman" w:cs="Times New Roman"/>
          <w:sz w:val="28"/>
          <w:szCs w:val="28"/>
          <w:lang w:val="en-US"/>
        </w:rPr>
        <w:t xml:space="preserve">; </w:t>
      </w:r>
    </w:p>
    <w:p w:rsidR="00CD0697" w:rsidRPr="00D16DFC" w:rsidRDefault="003A3428" w:rsidP="00D16DFC">
      <w:pPr>
        <w:pStyle w:val="a3"/>
        <w:spacing w:after="0" w:line="240" w:lineRule="auto"/>
        <w:ind w:left="0"/>
        <w:jc w:val="both"/>
        <w:rPr>
          <w:rFonts w:ascii="Times New Roman" w:hAnsi="Times New Roman" w:cs="Times New Roman"/>
          <w:sz w:val="28"/>
          <w:szCs w:val="28"/>
          <w:lang w:val="en-US"/>
        </w:rPr>
      </w:pPr>
      <w:r w:rsidRPr="00D16DFC">
        <w:rPr>
          <w:rFonts w:ascii="Times New Roman" w:hAnsi="Times New Roman" w:cs="Times New Roman"/>
          <w:sz w:val="28"/>
          <w:szCs w:val="28"/>
          <w:lang w:val="en-US"/>
        </w:rPr>
        <w:t xml:space="preserve">- </w:t>
      </w:r>
      <w:proofErr w:type="gramStart"/>
      <w:r w:rsidRPr="00D16DFC">
        <w:rPr>
          <w:rFonts w:ascii="Times New Roman" w:hAnsi="Times New Roman" w:cs="Times New Roman"/>
          <w:sz w:val="28"/>
          <w:szCs w:val="28"/>
          <w:lang w:val="en-US"/>
        </w:rPr>
        <w:t>subsidizing</w:t>
      </w:r>
      <w:proofErr w:type="gramEnd"/>
      <w:r w:rsidRPr="00D16DFC">
        <w:rPr>
          <w:rFonts w:ascii="Times New Roman" w:hAnsi="Times New Roman" w:cs="Times New Roman"/>
          <w:sz w:val="28"/>
          <w:szCs w:val="28"/>
          <w:lang w:val="en-US"/>
        </w:rPr>
        <w:t xml:space="preserve"> the costs of revision unions of agricultural cooperatives - 43,8 million </w:t>
      </w:r>
      <w:proofErr w:type="spellStart"/>
      <w:r w:rsidRPr="00D16DFC">
        <w:rPr>
          <w:rFonts w:ascii="Times New Roman" w:hAnsi="Times New Roman" w:cs="Times New Roman"/>
          <w:sz w:val="28"/>
          <w:szCs w:val="28"/>
          <w:lang w:val="en-US"/>
        </w:rPr>
        <w:t>tenge</w:t>
      </w:r>
      <w:proofErr w:type="spellEnd"/>
      <w:r w:rsidRPr="00D16DFC">
        <w:rPr>
          <w:rFonts w:ascii="Times New Roman" w:hAnsi="Times New Roman" w:cs="Times New Roman"/>
          <w:sz w:val="28"/>
          <w:szCs w:val="28"/>
          <w:lang w:val="en-US"/>
        </w:rPr>
        <w:t>.</w:t>
      </w:r>
      <w:r w:rsidR="00CD0697" w:rsidRPr="00D16DFC">
        <w:rPr>
          <w:rFonts w:ascii="Times New Roman" w:hAnsi="Times New Roman" w:cs="Times New Roman"/>
          <w:sz w:val="28"/>
          <w:szCs w:val="28"/>
          <w:lang w:val="en-US"/>
        </w:rPr>
        <w:tab/>
        <w:t xml:space="preserve"> </w:t>
      </w:r>
    </w:p>
    <w:p w:rsidR="003A3428" w:rsidRPr="00D16DFC" w:rsidRDefault="003A3428" w:rsidP="00D16DFC">
      <w:pPr>
        <w:spacing w:after="0" w:line="240" w:lineRule="auto"/>
        <w:ind w:firstLine="708"/>
        <w:jc w:val="both"/>
        <w:rPr>
          <w:rFonts w:ascii="Times New Roman" w:hAnsi="Times New Roman" w:cs="Times New Roman"/>
          <w:sz w:val="28"/>
          <w:szCs w:val="28"/>
          <w:lang w:val="kk-KZ"/>
        </w:rPr>
      </w:pPr>
      <w:r w:rsidRPr="00D16DFC">
        <w:rPr>
          <w:rFonts w:ascii="Times New Roman" w:hAnsi="Times New Roman" w:cs="Times New Roman"/>
          <w:sz w:val="28"/>
          <w:szCs w:val="28"/>
          <w:lang w:val="kk-KZ"/>
        </w:rPr>
        <w:t xml:space="preserve">In addition, agricultural producers may receive non-financial assistance from the government in the form of consultations on various issues of interest to them and other services. </w:t>
      </w:r>
    </w:p>
    <w:p w:rsidR="003A3428" w:rsidRPr="00D16DFC" w:rsidRDefault="003A3428" w:rsidP="00D16DFC">
      <w:pPr>
        <w:spacing w:after="0" w:line="240" w:lineRule="auto"/>
        <w:ind w:firstLine="708"/>
        <w:jc w:val="both"/>
        <w:rPr>
          <w:rFonts w:ascii="Times New Roman" w:hAnsi="Times New Roman" w:cs="Times New Roman"/>
          <w:sz w:val="28"/>
          <w:szCs w:val="28"/>
          <w:lang w:val="kk-KZ"/>
        </w:rPr>
      </w:pPr>
      <w:r w:rsidRPr="00D16DFC">
        <w:rPr>
          <w:rFonts w:ascii="Times New Roman" w:hAnsi="Times New Roman" w:cs="Times New Roman"/>
          <w:sz w:val="28"/>
          <w:szCs w:val="28"/>
          <w:lang w:val="kk-KZ"/>
        </w:rPr>
        <w:t>However, nowadays, the issue of evaluating the effectiveness of measures taken by the state to support the agricultural sector acquires special urgency. Under the conditions of observed instability in foreign markets, especially energy resources, uncertainty of economic development prospects, both at the global and regional levels, the importance of optimal spending of budgetary funds increases. Modern phenomena can significantly increase the country's losses from allowed financial violations. Meanwhile, such violations are constantly identified by regulatory authorities. For example, the Accounts Committee of the Republic of Kazakhstan in 2018 revealed the facts of reimbursement by the Department of Agriculture of the Atyrau region of part of the expenses of agro-industrial complex in the amount of more than 40 million tenge with violation of subsidy terms. In addition, in 2019, this body identified the inefficient use of financial resources and assets of the group of companies of the above holding for a total of 392.5 billion tenge[2].</w:t>
      </w:r>
    </w:p>
    <w:p w:rsidR="00CD0697" w:rsidRPr="00D16DFC" w:rsidRDefault="003A3428" w:rsidP="00D16DFC">
      <w:pPr>
        <w:spacing w:after="0" w:line="240" w:lineRule="auto"/>
        <w:ind w:firstLine="708"/>
        <w:jc w:val="both"/>
        <w:rPr>
          <w:rFonts w:ascii="Times New Roman" w:hAnsi="Times New Roman" w:cs="Times New Roman"/>
          <w:sz w:val="28"/>
          <w:szCs w:val="28"/>
          <w:lang w:val="kk-KZ"/>
        </w:rPr>
      </w:pPr>
      <w:r w:rsidRPr="00D16DFC">
        <w:rPr>
          <w:rFonts w:ascii="Times New Roman" w:hAnsi="Times New Roman" w:cs="Times New Roman"/>
          <w:sz w:val="28"/>
          <w:szCs w:val="28"/>
          <w:lang w:val="kk-KZ"/>
        </w:rPr>
        <w:t xml:space="preserve">The above makes it necessary to consider the development of a separate methodology to assess the effectiveness of state support measures for the agro-industrial complex, allowing to obtain comprehensive information on the effectiveness of these measures. </w:t>
      </w:r>
      <w:r w:rsidRPr="00D16DFC">
        <w:rPr>
          <w:rFonts w:ascii="Times New Roman" w:hAnsi="Times New Roman" w:cs="Times New Roman"/>
          <w:sz w:val="28"/>
          <w:szCs w:val="28"/>
          <w:lang w:val="kk-KZ"/>
        </w:rPr>
        <w:cr/>
      </w:r>
      <w:r w:rsidR="00D16DFC">
        <w:rPr>
          <w:rFonts w:ascii="Times New Roman" w:hAnsi="Times New Roman" w:cs="Times New Roman"/>
          <w:sz w:val="28"/>
          <w:szCs w:val="28"/>
          <w:lang w:val="kk-KZ"/>
        </w:rPr>
        <w:t xml:space="preserve">         </w:t>
      </w:r>
      <w:r w:rsidRPr="00D16DFC">
        <w:rPr>
          <w:rFonts w:ascii="Times New Roman" w:hAnsi="Times New Roman" w:cs="Times New Roman"/>
          <w:sz w:val="28"/>
          <w:szCs w:val="28"/>
          <w:lang w:val="kk-KZ"/>
        </w:rPr>
        <w:t>As a result of the introduction of new methodological approaches to assessing the effectiveness of state support to the agro-industrial complex, the quality of information on the effectiveness of measures taken by the state authorities and all interested parties can be improved. The application of the multi-dimensional approach in the new methodology can help users to obtain a comprehensive description of the support system for agricultural formations and processing enterprises in the sector. In this case, using the process of evaluation of indicators of different levels, information can be obtained both on the general state of the system and on private directions of stimulation of development of the complex under consideration. In general, on the basis of the results of the relevant assessment, the key parameters of the state economic policy can be adjusted in the future, and introduction of new methodological approaches can eventually contribute to making optimal managerial decisions, which is extremely important under conditions of limited budget resources and strengthening of crisis phenomena.</w:t>
      </w:r>
    </w:p>
    <w:p w:rsidR="006D27B8" w:rsidRDefault="006D27B8" w:rsidP="00D16DFC">
      <w:pPr>
        <w:spacing w:after="0" w:line="240" w:lineRule="auto"/>
        <w:ind w:firstLine="708"/>
        <w:jc w:val="center"/>
        <w:rPr>
          <w:rFonts w:ascii="Times New Roman" w:hAnsi="Times New Roman" w:cs="Times New Roman"/>
          <w:sz w:val="28"/>
          <w:szCs w:val="28"/>
          <w:lang w:val="en-US"/>
        </w:rPr>
      </w:pPr>
    </w:p>
    <w:p w:rsidR="00A959B2" w:rsidRPr="00875739" w:rsidRDefault="003A3428" w:rsidP="00D16DFC">
      <w:pPr>
        <w:spacing w:after="0" w:line="240" w:lineRule="auto"/>
        <w:ind w:firstLine="708"/>
        <w:jc w:val="center"/>
        <w:rPr>
          <w:rFonts w:ascii="Times New Roman" w:hAnsi="Times New Roman" w:cs="Times New Roman"/>
          <w:b/>
          <w:sz w:val="28"/>
          <w:szCs w:val="28"/>
          <w:lang w:val="kk-KZ"/>
        </w:rPr>
      </w:pPr>
      <w:r w:rsidRPr="00875739">
        <w:rPr>
          <w:rFonts w:ascii="Times New Roman" w:hAnsi="Times New Roman" w:cs="Times New Roman"/>
          <w:b/>
          <w:sz w:val="28"/>
          <w:szCs w:val="28"/>
          <w:lang w:val="kk-KZ"/>
        </w:rPr>
        <w:t>List of sources used</w:t>
      </w:r>
      <w:r w:rsidR="00D16DFC" w:rsidRPr="00875739">
        <w:rPr>
          <w:rFonts w:ascii="Times New Roman" w:hAnsi="Times New Roman" w:cs="Times New Roman"/>
          <w:b/>
          <w:sz w:val="28"/>
          <w:szCs w:val="28"/>
          <w:lang w:val="kk-KZ"/>
        </w:rPr>
        <w:t>:</w:t>
      </w:r>
    </w:p>
    <w:p w:rsidR="00EF2138" w:rsidRPr="00D16DFC" w:rsidRDefault="00912517" w:rsidP="00D16DFC">
      <w:pPr>
        <w:pStyle w:val="a6"/>
        <w:numPr>
          <w:ilvl w:val="0"/>
          <w:numId w:val="2"/>
        </w:numPr>
        <w:jc w:val="both"/>
        <w:rPr>
          <w:rFonts w:ascii="Times New Roman" w:hAnsi="Times New Roman" w:cs="Times New Roman"/>
          <w:sz w:val="28"/>
          <w:szCs w:val="28"/>
          <w:lang w:val="kk-KZ"/>
        </w:rPr>
      </w:pPr>
      <w:hyperlink r:id="rId11" w:history="1">
        <w:r w:rsidR="00EF2138" w:rsidRPr="00D16DFC">
          <w:rPr>
            <w:rStyle w:val="a9"/>
            <w:rFonts w:ascii="Times New Roman" w:hAnsi="Times New Roman" w:cs="Times New Roman"/>
            <w:color w:val="auto"/>
            <w:sz w:val="28"/>
            <w:szCs w:val="28"/>
            <w:u w:val="none"/>
            <w:lang w:val="kk-KZ"/>
          </w:rPr>
          <w:t>https://informburo.kz/novosti/narusheniya-na-summu-okolo-500-mln-tenge-vyyavil-schyotnyy-komitet-v-atyrauskoy-oblasti.html</w:t>
        </w:r>
      </w:hyperlink>
    </w:p>
    <w:p w:rsidR="00D16DFC" w:rsidRPr="00D16DFC" w:rsidRDefault="00D16DFC" w:rsidP="00D16DFC">
      <w:pPr>
        <w:pStyle w:val="a3"/>
        <w:numPr>
          <w:ilvl w:val="0"/>
          <w:numId w:val="2"/>
        </w:numPr>
        <w:spacing w:after="0" w:line="240" w:lineRule="auto"/>
        <w:jc w:val="both"/>
        <w:rPr>
          <w:rFonts w:ascii="Times New Roman" w:hAnsi="Times New Roman" w:cs="Times New Roman"/>
          <w:sz w:val="28"/>
          <w:szCs w:val="28"/>
          <w:lang w:val="kk-KZ"/>
        </w:rPr>
      </w:pPr>
      <w:r w:rsidRPr="00D16DFC">
        <w:rPr>
          <w:rFonts w:ascii="Times New Roman" w:hAnsi="Times New Roman" w:cs="Times New Roman"/>
          <w:sz w:val="28"/>
          <w:szCs w:val="28"/>
          <w:lang w:val="kk-KZ"/>
        </w:rPr>
        <w:t xml:space="preserve">https://kursiv.kz/news/kompanii/2019-07/mnogomillionnye-narusheniya-v-deyatelnosti-kazagro-vyyavil-schetnyy-komitet </w:t>
      </w:r>
    </w:p>
    <w:p w:rsidR="00384807" w:rsidRPr="00D16DFC" w:rsidRDefault="00885245" w:rsidP="00D16DFC">
      <w:pPr>
        <w:pStyle w:val="a3"/>
        <w:numPr>
          <w:ilvl w:val="0"/>
          <w:numId w:val="2"/>
        </w:numPr>
        <w:spacing w:after="0" w:line="240" w:lineRule="auto"/>
        <w:jc w:val="both"/>
        <w:rPr>
          <w:rFonts w:ascii="Times New Roman" w:hAnsi="Times New Roman" w:cs="Times New Roman"/>
          <w:sz w:val="28"/>
          <w:szCs w:val="28"/>
          <w:lang w:val="kk-KZ"/>
        </w:rPr>
      </w:pPr>
      <w:r w:rsidRPr="00D16DFC">
        <w:rPr>
          <w:rFonts w:ascii="Times New Roman" w:hAnsi="Times New Roman" w:cs="Times New Roman"/>
          <w:sz w:val="28"/>
          <w:szCs w:val="28"/>
          <w:lang w:val="kk-KZ"/>
        </w:rPr>
        <w:lastRenderedPageBreak/>
        <w:t>https://www.apk-inform.com/ru/left_menu/statisticsoil/trade</w:t>
      </w:r>
    </w:p>
    <w:p w:rsidR="00CD0697" w:rsidRPr="00D16DFC" w:rsidRDefault="00CD0697" w:rsidP="00D16DFC">
      <w:pPr>
        <w:spacing w:after="0" w:line="240" w:lineRule="auto"/>
        <w:jc w:val="both"/>
        <w:rPr>
          <w:rFonts w:ascii="Times New Roman" w:hAnsi="Times New Roman" w:cs="Times New Roman"/>
          <w:sz w:val="28"/>
          <w:szCs w:val="28"/>
          <w:lang w:val="kk-KZ"/>
        </w:rPr>
      </w:pPr>
    </w:p>
    <w:sectPr w:rsidR="00CD0697" w:rsidRPr="00D16DFC" w:rsidSect="000D6FA3">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3E3" w:rsidRDefault="008673E3" w:rsidP="00CD0697">
      <w:pPr>
        <w:spacing w:after="0" w:line="240" w:lineRule="auto"/>
      </w:pPr>
      <w:r>
        <w:separator/>
      </w:r>
    </w:p>
  </w:endnote>
  <w:endnote w:type="continuationSeparator" w:id="1">
    <w:p w:rsidR="008673E3" w:rsidRDefault="008673E3" w:rsidP="00CD06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3E3" w:rsidRDefault="008673E3" w:rsidP="00CD0697">
      <w:pPr>
        <w:spacing w:after="0" w:line="240" w:lineRule="auto"/>
      </w:pPr>
      <w:r>
        <w:separator/>
      </w:r>
    </w:p>
  </w:footnote>
  <w:footnote w:type="continuationSeparator" w:id="1">
    <w:p w:rsidR="008673E3" w:rsidRDefault="008673E3" w:rsidP="00CD06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A5B0B"/>
    <w:multiLevelType w:val="hybridMultilevel"/>
    <w:tmpl w:val="6234E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5458CB"/>
    <w:multiLevelType w:val="hybridMultilevel"/>
    <w:tmpl w:val="F25C72D6"/>
    <w:lvl w:ilvl="0" w:tplc="070A789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D6FA3"/>
    <w:rsid w:val="000653F6"/>
    <w:rsid w:val="000D6FA3"/>
    <w:rsid w:val="002C3380"/>
    <w:rsid w:val="002C3704"/>
    <w:rsid w:val="00384807"/>
    <w:rsid w:val="003A3428"/>
    <w:rsid w:val="003A3AC5"/>
    <w:rsid w:val="0061623B"/>
    <w:rsid w:val="006C63A9"/>
    <w:rsid w:val="006C6E7A"/>
    <w:rsid w:val="006D27B8"/>
    <w:rsid w:val="00720BDD"/>
    <w:rsid w:val="007E2A55"/>
    <w:rsid w:val="008673E3"/>
    <w:rsid w:val="00875739"/>
    <w:rsid w:val="00885245"/>
    <w:rsid w:val="00912517"/>
    <w:rsid w:val="0095038E"/>
    <w:rsid w:val="00A959B2"/>
    <w:rsid w:val="00AE3971"/>
    <w:rsid w:val="00B07D87"/>
    <w:rsid w:val="00BD6220"/>
    <w:rsid w:val="00C575C3"/>
    <w:rsid w:val="00CD0697"/>
    <w:rsid w:val="00D16DFC"/>
    <w:rsid w:val="00DB49D9"/>
    <w:rsid w:val="00E44853"/>
    <w:rsid w:val="00EF2138"/>
    <w:rsid w:val="00FD0F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F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6FA3"/>
    <w:pPr>
      <w:ind w:left="720"/>
      <w:contextualSpacing/>
    </w:pPr>
    <w:rPr>
      <w:rFonts w:eastAsiaTheme="minorHAnsi"/>
      <w:lang w:eastAsia="en-US"/>
    </w:rPr>
  </w:style>
  <w:style w:type="paragraph" w:styleId="a4">
    <w:name w:val="Balloon Text"/>
    <w:basedOn w:val="a"/>
    <w:link w:val="a5"/>
    <w:uiPriority w:val="99"/>
    <w:semiHidden/>
    <w:unhideWhenUsed/>
    <w:rsid w:val="000D6F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6FA3"/>
    <w:rPr>
      <w:rFonts w:ascii="Tahoma" w:hAnsi="Tahoma" w:cs="Tahoma"/>
      <w:sz w:val="16"/>
      <w:szCs w:val="16"/>
    </w:rPr>
  </w:style>
  <w:style w:type="paragraph" w:styleId="a6">
    <w:name w:val="footnote text"/>
    <w:basedOn w:val="a"/>
    <w:link w:val="a7"/>
    <w:uiPriority w:val="99"/>
    <w:semiHidden/>
    <w:unhideWhenUsed/>
    <w:rsid w:val="00CD0697"/>
    <w:pPr>
      <w:spacing w:after="0" w:line="240" w:lineRule="auto"/>
    </w:pPr>
    <w:rPr>
      <w:rFonts w:eastAsiaTheme="minorHAnsi"/>
      <w:sz w:val="20"/>
      <w:szCs w:val="20"/>
      <w:lang w:eastAsia="en-US"/>
    </w:rPr>
  </w:style>
  <w:style w:type="character" w:customStyle="1" w:styleId="a7">
    <w:name w:val="Текст сноски Знак"/>
    <w:basedOn w:val="a0"/>
    <w:link w:val="a6"/>
    <w:uiPriority w:val="99"/>
    <w:semiHidden/>
    <w:rsid w:val="00CD0697"/>
    <w:rPr>
      <w:rFonts w:eastAsiaTheme="minorHAnsi"/>
      <w:sz w:val="20"/>
      <w:szCs w:val="20"/>
      <w:lang w:eastAsia="en-US"/>
    </w:rPr>
  </w:style>
  <w:style w:type="character" w:styleId="a8">
    <w:name w:val="footnote reference"/>
    <w:basedOn w:val="a0"/>
    <w:uiPriority w:val="99"/>
    <w:semiHidden/>
    <w:unhideWhenUsed/>
    <w:rsid w:val="00CD0697"/>
    <w:rPr>
      <w:vertAlign w:val="superscript"/>
    </w:rPr>
  </w:style>
  <w:style w:type="character" w:styleId="a9">
    <w:name w:val="Hyperlink"/>
    <w:basedOn w:val="a0"/>
    <w:uiPriority w:val="99"/>
    <w:unhideWhenUsed/>
    <w:rsid w:val="00CD069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rmburo.kz/novosti/narusheniya-na-summu-okolo-500-mln-tenge-vyyavil-schyotnyy-komitet-v-atyrauskoy-oblasti.html" TargetMode="Externa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40;&#1075;&#1088;&#1072;&#1088;&#1085;&#1099;&#1081;%20&#1091;&#1085;&#1080;&#1074;&#1077;&#1088;&#1089;&#1080;&#1090;&#1077;&#1090;\&#1050;&#1086;&#1085;&#1094;&#1077;&#1087;&#1094;&#1080;&#1103;%20&#1042;&#1058;&#1054;\&#1058;&#1086;&#1088;&#1075;&#1086;&#1074;&#1083;&#1103;%20&#1078;&#1080;&#1074;&#1086;&#1090;&#1085;&#1099;&#1084;&#1080;.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Динамика!$B$12</c:f>
              <c:strCache>
                <c:ptCount val="1"/>
                <c:pt idx="0">
                  <c:v>Экспорт</c:v>
                </c:pt>
              </c:strCache>
            </c:strRef>
          </c:tx>
          <c:marker>
            <c:symbol val="none"/>
          </c:marker>
          <c:dLbls>
            <c:showVal val="1"/>
          </c:dLbls>
          <c:cat>
            <c:strRef>
              <c:f>Динамика!$C$11:$G$11</c:f>
              <c:strCache>
                <c:ptCount val="5"/>
                <c:pt idx="0">
                  <c:v>2015г.</c:v>
                </c:pt>
                <c:pt idx="1">
                  <c:v>2016г.</c:v>
                </c:pt>
                <c:pt idx="2">
                  <c:v>2017г.</c:v>
                </c:pt>
                <c:pt idx="3">
                  <c:v>2018г.</c:v>
                </c:pt>
                <c:pt idx="4">
                  <c:v>2019г.</c:v>
                </c:pt>
              </c:strCache>
            </c:strRef>
          </c:cat>
          <c:val>
            <c:numRef>
              <c:f>Динамика!$C$12:$G$12</c:f>
              <c:numCache>
                <c:formatCode>#,##0.0</c:formatCode>
                <c:ptCount val="5"/>
                <c:pt idx="0">
                  <c:v>3.7029999999999998</c:v>
                </c:pt>
                <c:pt idx="1">
                  <c:v>2.5059999999999998</c:v>
                </c:pt>
                <c:pt idx="2">
                  <c:v>2.383</c:v>
                </c:pt>
                <c:pt idx="3">
                  <c:v>25.678999999999988</c:v>
                </c:pt>
                <c:pt idx="4">
                  <c:v>81.28</c:v>
                </c:pt>
              </c:numCache>
            </c:numRef>
          </c:val>
        </c:ser>
        <c:ser>
          <c:idx val="1"/>
          <c:order val="1"/>
          <c:tx>
            <c:strRef>
              <c:f>Динамика!$B$13</c:f>
              <c:strCache>
                <c:ptCount val="1"/>
                <c:pt idx="0">
                  <c:v>Импорт</c:v>
                </c:pt>
              </c:strCache>
            </c:strRef>
          </c:tx>
          <c:marker>
            <c:symbol val="none"/>
          </c:marker>
          <c:dLbls>
            <c:showVal val="1"/>
          </c:dLbls>
          <c:cat>
            <c:strRef>
              <c:f>Динамика!$C$11:$G$11</c:f>
              <c:strCache>
                <c:ptCount val="5"/>
                <c:pt idx="0">
                  <c:v>2015г.</c:v>
                </c:pt>
                <c:pt idx="1">
                  <c:v>2016г.</c:v>
                </c:pt>
                <c:pt idx="2">
                  <c:v>2017г.</c:v>
                </c:pt>
                <c:pt idx="3">
                  <c:v>2018г.</c:v>
                </c:pt>
                <c:pt idx="4">
                  <c:v>2019г.</c:v>
                </c:pt>
              </c:strCache>
            </c:strRef>
          </c:cat>
          <c:val>
            <c:numRef>
              <c:f>Динамика!$C$13:$G$13</c:f>
              <c:numCache>
                <c:formatCode>#,##0.0</c:formatCode>
                <c:ptCount val="5"/>
                <c:pt idx="0">
                  <c:v>15.117000000000001</c:v>
                </c:pt>
                <c:pt idx="1">
                  <c:v>9.9170000000000016</c:v>
                </c:pt>
                <c:pt idx="2">
                  <c:v>12.219999999999999</c:v>
                </c:pt>
                <c:pt idx="3">
                  <c:v>36.898000000000003</c:v>
                </c:pt>
                <c:pt idx="4">
                  <c:v>74.198999999999998</c:v>
                </c:pt>
              </c:numCache>
            </c:numRef>
          </c:val>
        </c:ser>
        <c:marker val="1"/>
        <c:axId val="98556544"/>
        <c:axId val="98615680"/>
      </c:lineChart>
      <c:catAx>
        <c:axId val="98556544"/>
        <c:scaling>
          <c:orientation val="minMax"/>
        </c:scaling>
        <c:axPos val="b"/>
        <c:tickLblPos val="nextTo"/>
        <c:crossAx val="98615680"/>
        <c:crosses val="autoZero"/>
        <c:auto val="1"/>
        <c:lblAlgn val="ctr"/>
        <c:lblOffset val="100"/>
      </c:catAx>
      <c:valAx>
        <c:axId val="98615680"/>
        <c:scaling>
          <c:orientation val="minMax"/>
        </c:scaling>
        <c:axPos val="l"/>
        <c:majorGridlines>
          <c:spPr>
            <a:ln>
              <a:prstDash val="sysDash"/>
            </a:ln>
          </c:spPr>
        </c:majorGridlines>
        <c:numFmt formatCode="#,##0.0" sourceLinked="1"/>
        <c:tickLblPos val="nextTo"/>
        <c:crossAx val="98556544"/>
        <c:crosses val="autoZero"/>
        <c:crossBetween val="between"/>
      </c:valAx>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layout/>
    </c:title>
    <c:plotArea>
      <c:layout/>
      <c:pieChart>
        <c:varyColors val="1"/>
        <c:ser>
          <c:idx val="0"/>
          <c:order val="0"/>
          <c:tx>
            <c:strRef>
              <c:f>'Лист1'!$B$1</c:f>
              <c:strCache>
                <c:ptCount val="1"/>
                <c:pt idx="0">
                  <c:v>Distribution of live cattle export by country for 2019%</c:v>
                </c:pt>
              </c:strCache>
            </c:strRef>
          </c:tx>
          <c:dLbls>
            <c:dLbl>
              <c:idx val="0"/>
              <c:layout/>
              <c:showVal val="1"/>
            </c:dLbl>
            <c:dLbl>
              <c:idx val="1"/>
              <c:layout/>
              <c:showVal val="1"/>
            </c:dLbl>
            <c:dLbl>
              <c:idx val="2"/>
              <c:layout/>
              <c:showVal val="1"/>
            </c:dLbl>
            <c:dLbl>
              <c:idx val="3"/>
              <c:layout/>
              <c:showVal val="1"/>
            </c:dLbl>
            <c:delete val="1"/>
          </c:dLbls>
          <c:cat>
            <c:strRef>
              <c:f>'Лист1'!$A$2:$A$5</c:f>
              <c:strCache>
                <c:ptCount val="4"/>
                <c:pt idx="0">
                  <c:v>
Uzbekistan</c:v>
                </c:pt>
                <c:pt idx="1">
                  <c:v>Armeniya</c:v>
                </c:pt>
                <c:pt idx="2">
                  <c:v>Russia</c:v>
                </c:pt>
                <c:pt idx="3">
                  <c:v>Tadzhikistan</c:v>
                </c:pt>
              </c:strCache>
            </c:strRef>
          </c:cat>
          <c:val>
            <c:numRef>
              <c:f>'Лист1'!$B$2:$B$5</c:f>
              <c:numCache>
                <c:formatCode>General</c:formatCode>
                <c:ptCount val="4"/>
                <c:pt idx="0">
                  <c:v>86.2</c:v>
                </c:pt>
                <c:pt idx="1">
                  <c:v>7.3</c:v>
                </c:pt>
                <c:pt idx="2">
                  <c:v>1.9000000000000001</c:v>
                </c:pt>
                <c:pt idx="3">
                  <c:v>1.9000000000000001</c:v>
                </c:pt>
              </c:numCache>
            </c:numRef>
          </c:val>
        </c:ser>
        <c:firstSliceAng val="0"/>
      </c:pieChart>
    </c:plotArea>
    <c:legend>
      <c:legendPos val="r"/>
      <c:layout>
        <c:manualLayout>
          <c:xMode val="edge"/>
          <c:yMode val="edge"/>
          <c:x val="0.75104276027996508"/>
          <c:y val="0.37848686389929576"/>
          <c:w val="0.23506835083114652"/>
          <c:h val="0.43545494313210914"/>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layout/>
    </c:title>
    <c:plotArea>
      <c:layout/>
      <c:pieChart>
        <c:varyColors val="1"/>
        <c:ser>
          <c:idx val="0"/>
          <c:order val="0"/>
          <c:tx>
            <c:strRef>
              <c:f>Лист1!$B$1</c:f>
              <c:strCache>
                <c:ptCount val="1"/>
                <c:pt idx="0">
                  <c:v>Distribution of live cattle import by countries for 2019%</c:v>
                </c:pt>
              </c:strCache>
            </c:strRef>
          </c:tx>
          <c:dLbls>
            <c:showVal val="1"/>
            <c:showLeaderLines val="1"/>
          </c:dLbls>
          <c:cat>
            <c:strRef>
              <c:f>Лист1!$A$2:$A$5</c:f>
              <c:strCache>
                <c:ptCount val="4"/>
                <c:pt idx="0">
                  <c:v>Russia</c:v>
                </c:pt>
                <c:pt idx="1">
                  <c:v>Australia</c:v>
                </c:pt>
                <c:pt idx="2">
                  <c:v>Czech</c:v>
                </c:pt>
                <c:pt idx="3">
                  <c:v>USA</c:v>
                </c:pt>
              </c:strCache>
            </c:strRef>
          </c:cat>
          <c:val>
            <c:numRef>
              <c:f>Лист1!$B$2:$B$5</c:f>
              <c:numCache>
                <c:formatCode>General</c:formatCode>
                <c:ptCount val="4"/>
                <c:pt idx="0">
                  <c:v>28.4</c:v>
                </c:pt>
                <c:pt idx="1">
                  <c:v>27.9</c:v>
                </c:pt>
                <c:pt idx="2">
                  <c:v>13.9</c:v>
                </c:pt>
                <c:pt idx="3">
                  <c:v>13</c:v>
                </c:pt>
              </c:numCache>
            </c:numRef>
          </c:val>
        </c:ser>
        <c:firstSliceAng val="0"/>
      </c:pieChart>
    </c:plotArea>
    <c:legend>
      <c:legendPos val="r"/>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1591</Words>
  <Characters>9071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2020-12-18T14:31:00Z</dcterms:created>
  <dcterms:modified xsi:type="dcterms:W3CDTF">2020-12-18T14:31:00Z</dcterms:modified>
</cp:coreProperties>
</file>