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B3" w:rsidRPr="003A3BB3" w:rsidRDefault="003A3BB3" w:rsidP="00636E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416800957"/>
      <w:r w:rsidRPr="003A3BB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ПОЯСНИТЕЛЬНАЯ ЗАПИСКА</w:t>
      </w:r>
      <w:bookmarkEnd w:id="0"/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проблема подросткового периода – выбор профессии. Правильно выбранная профессия, способствует достижению наиболее высоких показателей в трудовой и общественной деятельности, дает возможность максимального проявления творчества, более полного осуществления всех жизненных планов, как одного человека, так и общества в целом.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Профильному обучению учащихся в современном образовании уделяется большое внимание. Это не просто обучение подростка какой-либо профессии, это и профессиональное ориентирование учащегося по выбранному им профилю. Медицина – одна из главных составляющих жизни человека, которая отвечает, прежде всего, за его здоровье и долголетие. Поэтому понятно, почему общество предъявляет особые требования именно к медицинским работникам.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возрасте интересы основной части ребят крайне неустойчивы. Они плохо ориентируются в мире профессий, не могут оценить свои способности и возможности, что само собой еще больше затрудняет выбор будущей профессии. Поэтому возникла необходимость в составлении коротких элективных курсов по различным профессиональным направлениям, в том числе и медицины. Задача курса как можно полнее и интереснее познакомить учащегося со спецификой выбранного вида деятельности. Помочь ученику оценить свой потенциал с точки зрения образовательной перспективы, помочь учащемуся проверить себя в выбранном виде деятельности, то есть получить ответ на вопрос: могу ли я и хочу ли я этим заниматься?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является  элективным курсом по профессиональному самоопределению в области медицины и рекомендована для учащихся 10 классов общеобразовательных школ. Курс знакомит учащихся с миром медицинских профессий. А также с основными понятиями и дисциплинами, изучаемыми в медицине; формирует знания и умения необходимые не только для медработников, но и для каждого человека; формирует правильное отношение к своему здоровью и потребность в здоровом образе жизни.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курса обусловлена тем, что знания и умения, полученные в рамках проекта обеспечивают реализацию образовательных программ естественнонаучного профиля медицинской и организациями медицинской отрасли в будущем станут основой для реализации учебно-исследовательских проектов в старшем звене школы, а также для успешной сдачи ЕНТ по биологии и химии.</w:t>
      </w:r>
      <w:proofErr w:type="gramEnd"/>
    </w:p>
    <w:p w:rsidR="003A3BB3" w:rsidRPr="003A3BB3" w:rsidRDefault="003A3BB3" w:rsidP="00D95D7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проекта позволяет реализовать актуальные в настоящее время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 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проекта «Медицинский класс» создаёт условия для повышения качества образования по биологии и химии, обеспечивает развитие личности обучающихся, способствует самоопределению учащихся в выборе профиля обучения с учетом возможностей педагогического коллектива, которые используют 2/3 объема внеурочной деятельности обучающихся для поддержки естественнонаучного профиля медицинской направленности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проекта «</w:t>
      </w:r>
      <w:r w:rsidR="00B90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медицины</w:t>
      </w:r>
      <w:r w:rsidRPr="003A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»: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цель: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естественно-научного предпрофильного и профильного обучения медицинской направленности для формирования у 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выбору профессиональной деятельности в медицинской отрасли,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профессиональном самоопределении, становлении, социальной и психологической адаптации;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развитие познавательных способностей учащихся;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базового уровня подготовки учащихся с тестовыми материалами в рамках профильных и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предпрофильных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тестирований.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расширять кругозор, повышать интерес к медицине, популяризация интеллектуального творчества;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развивающая: развивать логическое мышление, умения устанавливать причинно-следственные связи, умения рассуждать и делать выводы, пропаганда культа знаний в системе духовных ценностей современного поколения;</w:t>
      </w:r>
    </w:p>
    <w:p w:rsidR="003A3BB3" w:rsidRPr="003A3BB3" w:rsidRDefault="003A3BB3" w:rsidP="00D95D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воспитательная: развивать навыки коллективной работы, воспитание понимания важности и востребованности медицины, объединение и организация досуга учащихся.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реализации программы: 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 w:rsidR="00636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учащихся 11 </w:t>
      </w:r>
      <w:bookmarkStart w:id="1" w:name="_GoBack"/>
      <w:bookmarkEnd w:id="1"/>
      <w:r w:rsidR="00EC4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17 часов, сентябрь 2019 - май 2022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отбора и структурирования материала: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курса разработано на основе анализа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среднего и старшего медицинского персонала, с учетом возраста школьников, имеющихся у них знаний по школьным дисциплинам, их умением использовать дополнительные источники знаний, а также с учетом их психофизиологических особенностей.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курса включает круг вопросов, показывающих проблемы и задачи медицины в человеческом обществе, знакомит со структурой здравоохранения, формами традиционной и нетрадиционной медицины, включает лабораторные работы, самонаблюдения, упражнения, полезные советы, основы первой медицинской помощи при бытовых травмах.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программы курса учащиеся знакомятся с разнообразными учебными заведениями, в которых можно получить медицинское образование. Также предусматривается выполнение практических работ, которые позволяют углубить и расширить знания учащихся в области общей и возрастной физиологии, психологии, гигиены. Успешному решению задач курса будет способствовать организация встреч с медицинскими работниками, студентами и выпускниками школы из профильных медицинских вузов.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курса является то, что он требует активной творческой работы учащихся: обсуждение проблем, работа над проектами, написание докладов и рефератов.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:rsidR="003A3BB3" w:rsidRPr="003A3BB3" w:rsidRDefault="003A3BB3" w:rsidP="003A3B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поискового и исследовательского характера, стимулирующие познавательную активность учащихся; </w:t>
      </w:r>
    </w:p>
    <w:p w:rsidR="003A3BB3" w:rsidRPr="003A3BB3" w:rsidRDefault="003A3BB3" w:rsidP="003A3B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лабораторно-практические работы, графические работы, развивающие творческую инициативу учащихся;</w:t>
      </w:r>
    </w:p>
    <w:p w:rsidR="003A3BB3" w:rsidRPr="003A3BB3" w:rsidRDefault="003A3BB3" w:rsidP="003A3B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методы (эвристические методы, учебный диалог, метод проблемных задач);</w:t>
      </w:r>
    </w:p>
    <w:p w:rsidR="003A3BB3" w:rsidRPr="003A3BB3" w:rsidRDefault="003A3BB3" w:rsidP="003A3B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учащихся с различными источниками информации, обеспечивают информационно-коммуникационную компетентность;</w:t>
      </w:r>
    </w:p>
    <w:p w:rsidR="003A3BB3" w:rsidRPr="003A3BB3" w:rsidRDefault="003A3BB3" w:rsidP="003A3B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познавательной деятельности учащихся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индивидуальные, групповые, коллективные.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учебных занятий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Преподавание элективного курса предусматривает внедрение современных педагогических технологий, содействующих эффективному развитию творческого потенциала учащихся. Старшая школа ориентирована в большей степени на поступление в ВУЗ. В этой связи при изучении курса предусматривается лекционно-семинарская система занятий. 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лекции предусматривается крупноблочное изложение материала, раскрытие основных ключевых позиций. 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предполагает творческое изучение программного материала. На этих занятиях происходит углубление, расширение и детализация материала. Подготовка к ним предусматривает организацию индивидуальной и групповой работы учащихся, поиск информации из дополнительной литературы и электронных источников, развитие умений самостоятельно добывать, анализировать, обобщать знания, делать выводы. Семинары могут проводиться в форме выступлений учащихся на основе докладов и рефератов, в виде диспутов, дискуссий, ролевых игр, круглых столов.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практических занятий целесообразно использование ресурсов медицинского кабинета, а также сотрудничество с медицинским работником.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предполагается демонстрация слайдов, учебных видеофильмов, мультимедийного приложения, атласов, таблиц, что будет способствовать визуализации предоставляемой информации и успешному усвоению материала.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классно-урочной системы предполагается проведение экскурсии в медицинскую лабораторию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нтерактивные лекции с последующими дискуссиями, семинары,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работы, защита творческих проектов и др.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результаты:</w:t>
      </w:r>
    </w:p>
    <w:p w:rsidR="003A3BB3" w:rsidRPr="003A3BB3" w:rsidRDefault="003A3BB3" w:rsidP="003A3BB3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знать:</w:t>
      </w:r>
    </w:p>
    <w:p w:rsidR="003A3BB3" w:rsidRPr="003A3BB3" w:rsidRDefault="003A3BB3" w:rsidP="003A3BB3">
      <w:pPr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медицинские специальности;</w:t>
      </w:r>
    </w:p>
    <w:p w:rsidR="003A3BB3" w:rsidRPr="003A3BB3" w:rsidRDefault="003A3BB3" w:rsidP="003A3BB3">
      <w:pPr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достижения медицины;</w:t>
      </w:r>
    </w:p>
    <w:p w:rsidR="003A3BB3" w:rsidRPr="003A3BB3" w:rsidRDefault="003A3BB3" w:rsidP="003A3BB3">
      <w:pPr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первой помощи;</w:t>
      </w:r>
    </w:p>
    <w:p w:rsidR="003A3BB3" w:rsidRPr="003A3BB3" w:rsidRDefault="003A3BB3" w:rsidP="003A3BB3">
      <w:pPr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медицинских учреждениях города и округа и региона, требования к студентам медикам.</w:t>
      </w:r>
    </w:p>
    <w:p w:rsidR="003A3BB3" w:rsidRPr="003A3BB3" w:rsidRDefault="003A3BB3" w:rsidP="003A3BB3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</w:t>
      </w:r>
      <w:r w:rsidRPr="003A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3A3BB3" w:rsidRPr="003A3BB3" w:rsidRDefault="003A3BB3" w:rsidP="003A3B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проводить самонаблюдение, лабораторный опыт, практическую работу, делать математическую обработку результатов исследования, формулировать выводы;</w:t>
      </w:r>
    </w:p>
    <w:p w:rsidR="003A3BB3" w:rsidRPr="003A3BB3" w:rsidRDefault="003A3BB3" w:rsidP="003A3BB3">
      <w:pPr>
        <w:numPr>
          <w:ilvl w:val="0"/>
          <w:numId w:val="3"/>
        </w:numPr>
        <w:spacing w:after="0" w:line="240" w:lineRule="auto"/>
        <w:ind w:left="141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рефераты, сообщения, работать над проектами, пользоваться дополнительными источниками информации.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учащихся должны быть сформированы следующие компетенции: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Учебно-познавательные: 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наиболее рациональную последовательность при выполнении практических работ;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оценивать свою деятельность;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причинно-следственные связи;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 решать практические задачи.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Коммуникативные: 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диалог, выступать публично;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коллективной мыслительной деятельности;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убеждать, доказывать, формулировать выводы.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Общекультурные: 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своим поведением, настроением, своими потребностями и желаниями, сочетая их с интересами коллектива;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технику безопасности при выполнении практических работ.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Информационные: 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конспектировать 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осуществлять пометки, выписки, составлять тезисы;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полученные результаты, делать выводы;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ресурсы Интернет при составлении презентаций.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3A3BB3" w:rsidRPr="003A3BB3" w:rsidRDefault="003A3BB3" w:rsidP="003A3B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Сообщения, выступления.</w:t>
      </w:r>
    </w:p>
    <w:p w:rsidR="003A3BB3" w:rsidRPr="003A3BB3" w:rsidRDefault="003A3BB3" w:rsidP="003A3B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Рефераты.</w:t>
      </w:r>
    </w:p>
    <w:p w:rsidR="003A3BB3" w:rsidRPr="003A3BB3" w:rsidRDefault="003A3BB3" w:rsidP="003A3B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</w:t>
      </w:r>
    </w:p>
    <w:p w:rsidR="003A3BB3" w:rsidRPr="003A3BB3" w:rsidRDefault="003A3BB3" w:rsidP="003A3B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работы.</w:t>
      </w:r>
    </w:p>
    <w:p w:rsidR="003A3BB3" w:rsidRPr="003A3BB3" w:rsidRDefault="003A3BB3" w:rsidP="003A3B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ситуационных задач</w:t>
      </w:r>
    </w:p>
    <w:p w:rsidR="003A3BB3" w:rsidRPr="003A3BB3" w:rsidRDefault="003A3BB3" w:rsidP="003A3B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стимуляции личностного роста можно использовать балльную систему мониторинга достижений, фиксируя результаты в приведенной ниже таблице. </w:t>
      </w:r>
    </w:p>
    <w:p w:rsidR="003A3BB3" w:rsidRPr="003A3BB3" w:rsidRDefault="003A3BB3" w:rsidP="003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BB3" w:rsidRPr="003A3BB3" w:rsidRDefault="003A3BB3" w:rsidP="003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BB3" w:rsidRPr="003A3BB3" w:rsidRDefault="003A3BB3" w:rsidP="003A3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 результате освоения программы курса учащиеся должны защитить проект или представить презентацию. При успешной защите учащиеся получают зачет.</w:t>
      </w:r>
    </w:p>
    <w:p w:rsidR="00D95D79" w:rsidRDefault="00D95D79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D79" w:rsidRDefault="00D95D79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3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971"/>
        <w:gridCol w:w="954"/>
        <w:gridCol w:w="1043"/>
        <w:gridCol w:w="1587"/>
        <w:gridCol w:w="1634"/>
        <w:gridCol w:w="1591"/>
        <w:gridCol w:w="1540"/>
      </w:tblGrid>
      <w:tr w:rsidR="00D95D79" w:rsidRPr="003A3BB3" w:rsidTr="00D95D79">
        <w:tc>
          <w:tcPr>
            <w:tcW w:w="1337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</w:t>
            </w:r>
          </w:p>
        </w:tc>
        <w:tc>
          <w:tcPr>
            <w:tcW w:w="971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954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группе</w:t>
            </w:r>
          </w:p>
        </w:tc>
        <w:tc>
          <w:tcPr>
            <w:tcW w:w="1043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ответ</w:t>
            </w:r>
          </w:p>
        </w:tc>
        <w:tc>
          <w:tcPr>
            <w:tcW w:w="1587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с докладом</w:t>
            </w:r>
          </w:p>
        </w:tc>
        <w:tc>
          <w:tcPr>
            <w:tcW w:w="1634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1591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1540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проекта, презентация.</w:t>
            </w:r>
          </w:p>
        </w:tc>
      </w:tr>
      <w:tr w:rsidR="00D95D79" w:rsidRPr="003A3BB3" w:rsidTr="00D95D79">
        <w:tc>
          <w:tcPr>
            <w:tcW w:w="1337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D79" w:rsidRPr="003A3BB3" w:rsidTr="00D95D79">
        <w:tc>
          <w:tcPr>
            <w:tcW w:w="1337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</w:tcPr>
          <w:p w:rsidR="00D95D79" w:rsidRPr="003A3BB3" w:rsidRDefault="00D95D79" w:rsidP="00D95D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D79" w:rsidRDefault="00D95D79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ресурсов:</w:t>
      </w:r>
    </w:p>
    <w:p w:rsidR="003A3BB3" w:rsidRPr="003A3BB3" w:rsidRDefault="003A3BB3" w:rsidP="003A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таблицы, динамические пособия, учебные диски, видеофильмы, инструктивные карточки, электронные тесты, интерактивные задания, презентации, ресурсы Интернета, флэш - анимации.</w:t>
      </w:r>
      <w:proofErr w:type="gramEnd"/>
    </w:p>
    <w:p w:rsidR="003A3BB3" w:rsidRPr="003A3BB3" w:rsidRDefault="003A3BB3" w:rsidP="003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3BB3" w:rsidRPr="003A3BB3" w:rsidSect="00D95D79">
          <w:pgSz w:w="11906" w:h="16838"/>
          <w:pgMar w:top="1135" w:right="1133" w:bottom="851" w:left="1418" w:header="709" w:footer="709" w:gutter="0"/>
          <w:cols w:space="708"/>
          <w:docGrid w:linePitch="360"/>
        </w:sectPr>
      </w:pPr>
    </w:p>
    <w:p w:rsidR="003A3BB3" w:rsidRPr="003A3BB3" w:rsidRDefault="003A3BB3" w:rsidP="003A3BB3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2" w:name="_Toc416800958"/>
      <w:r w:rsidRPr="003A3BB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СОДЕРЖАНИЕ ПРОГРАММЫ</w:t>
      </w:r>
      <w:bookmarkEnd w:id="2"/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1. Размышление о профессии врача.(2ч)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</w:t>
      </w:r>
      <w:r w:rsidRPr="003A3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медицинских профессий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необходимые медицинскому работнику. Мифы и реальности. Система здравоохранения. Особенности медицинской карьеры. Этика и этикет в медицине. Самоанализ своих индивидуальных качеств, мотивация к выбору профессии, прогнозирование будущего образования. Мнение людей о врачах и медицине в целом.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2</w:t>
      </w:r>
      <w:r w:rsidRPr="003A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Врач – профессия, которой более 5 тысяч лет.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«Отец медицины» - Гиппократ. История медицины от древних времен до наших дней. Среднеазиатский ученый, врач, математик, поэт Авиценна. Врач эпохи возрождения Парацельс. Итальянский врач и естествоиспытатель Андреас Везалий. Французский врач, основоположник современной хирургии,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Амбруаз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Паре. Уильям Гарвей, английский врач, открывший круги кровообращения. Луи Пастер, великий французский химик, основоположник микробиологии. Австрийский иммунолог Карл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Ландштейнер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открывший группы крови у человека. Александр Флеминг – начало эры антибиотиков. Русский ученый и хирург, основоположник военно-полевой хирургии, Н. И. Пирогов. Врач и ученый, основоположник русской школы физиологов, И. М. Сеченов. И. И. Мечников - автор фагоцитарной теории иммунитета. Выдающийся русский ученый И. П. Павлов. Русский врач-терапевт С. П. Боткин. Хирург, один из основоположников нейрохирургии Н. Н. Бурденко.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Использование ИКТ: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медицины, биографиях врачей и их открытиях, мультимедийное пособие для уч-ся 8 класса, ресурсы Интернет.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2. Врачи – наследники Гиппократа(8ч.)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</w:t>
      </w:r>
      <w:proofErr w:type="gramStart"/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proofErr w:type="gramEnd"/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Краткая характеристика основных медицинских профессий и специальностей.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2</w:t>
      </w:r>
      <w:r w:rsidRPr="003A3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сестра – главный помощник врача.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профессии. Виды медицинских сестер: палатная, хирургическая, медсестра диспансера, физиотерапевтического кабинета, процедурного кабинета, массажист. Профессия – фельдшер.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3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сведения о десмургии. Виды повязок, наложение повязок.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Десмургия – раздел хирургии, разрабатывающий методы применения и технику наложения повязок. Перевязочный материал, используемый в древности. Виды мягких повязок. Повязки головы, шеи, конечностей. Матерчатые повязки. Техника наложения повязок.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 4. 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«Скорой помощи» - организация и персонал. Плюсы и минусы работы в «Скорой помощи»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иды первой помощи.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5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Кровотечения, типы кровотечений, способы остановки кровотечений.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Кровотечение – это истечение крови из кровеносного сосуда во внешнюю среду, в полости и ткани. Опасность кровопотери. Кровотечения травматические и нетравматические. Первичные и вторичные кровотечения. Наружные и внутренние кровотечения. Артериальные, венозные, смешанные, капиллярные и паренхиматозные кровотечения. Способы временной остановки кровотечения. Особенности остановки кровотечения у детей.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6.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Переломы костей, их распознавание. Способы временной иммобилизации.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 – частичное или полное нарушение целости кости, вызванное действием механической силы или патологическим процессом. Врожденные, или внутриутробные и приобретенные переломы. Приобретенные переломы: травматические и патологические. Переломы открытые и закрытые. Переломы полные и неполные; одиночные и множественные. Распознавание переломов. Первая медицинская помощь при переломах. Правила наложения шинных повязок.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7.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Педиатрия. Педиатр – детский врач.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 этапы индивидуального развития человека. Особенности лечения детей. Изменение пропорций и строения тела с возрастом. Антропометрические исследования: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соматометрические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соматоскопические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физиометрические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Тема 8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Современные методы диагностики и лечения в медицине.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Электрокардиограф, ультрафиолетовое и рентгеновское излучение, флюорография,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маммонография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ультразвуковое обследование, использование лазеров в медицине, томография и др.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Экскурсии (2ч)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Экскурсия в школьный медицинский кабинет. Знакомство с оборудованием, медикаментами кабинета, профессией школьный фельдшер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Экскурсия в детскую поликлинику №___. Знакомство с современным оборудованием диагностического отделения.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Практические работы (4ч)</w:t>
      </w:r>
    </w:p>
    <w:p w:rsidR="003A3BB3" w:rsidRPr="003A3BB3" w:rsidRDefault="003A3BB3" w:rsidP="003A3BB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повязок, правила наложение повязок.</w:t>
      </w:r>
    </w:p>
    <w:p w:rsidR="003A3BB3" w:rsidRPr="003A3BB3" w:rsidRDefault="003A3BB3" w:rsidP="003A3BB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Кровотечения, способы остановки кровотечений.</w:t>
      </w:r>
    </w:p>
    <w:p w:rsidR="003A3BB3" w:rsidRPr="003A3BB3" w:rsidRDefault="003A3BB3" w:rsidP="003A3BB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костей, их распознавание. Оказание первой помощи при переломах костей конечностей.</w:t>
      </w:r>
    </w:p>
    <w:p w:rsidR="003A3BB3" w:rsidRPr="003A3BB3" w:rsidRDefault="003A3BB3" w:rsidP="003A3BB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Антропометрические исследования.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Использование ИКТ: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о профессии врача стоматолога, врача офтальмолога, история профессии медицинской сестры, особенности организации труда медсестры физиотерапевтического кабинета, о современных методах обследования и лечения в медицине, об оказании первой медицинской помощи при переломах и кровотечениях.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пособие для учащихся 8 классов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 и электронные тесты.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 3..  Нетрадиционная медицина.(2ч.)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Традиционная и нетрадиционная медицина.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медицина. Знахарское врачевание: история, знахари-травники, знахарские рецепты.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Цветотерапия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Лечение цветом. Ароматерапия. Разнообразные масла и их использование в медицинских целях.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2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Фототерапия. Лечение травами.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Фармакология – раздел медицины, изучающий действие лекарственных веществ на организм, разрабатывающий новые лекарственные средства и методы их применения. Лекарственные вещества минерального, растительного, животного происхождения и продукты жизнедеятельности микроорганизмов. Лекарственные формы: таблетки, мази, драже, капсулы, гели, растворы. Инъекционные препараты. Внутримышечное, подкожное, внутривенное, капельное введение. Вред самолечения.  Использование лекарственных растений. Классификация лекарственных растений по их выраженному биологическому действию.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Гомеопатия. История этой науки. Врач-гомеопат. Особенности лечения гомеопатическими препаратами.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Использование ИКТ: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 о нетрадиционных методах лечения, ароматерапии, гомеопатии. Интернет ресурсы.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4.  Путь к вершине.(2ч.)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Здоровый образ жизни. Факторы, укрепляющие здоровье.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здоровье человека: образ жизни, генетика, внешняя среда, природно-климатические условия, уровень развития здравоохранения. Факторы риска. Факторы, укрепляющие здоровье: двигательная активность, рациональное питание, режим труда и отдыха.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Самостоятельная работа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Составление “Кодекса здоровья” и программ самосовершенствования.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2.</w:t>
      </w: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училище города. Высшее медицинское образование. Требования к студентам-медикам. Трудности обучения. Подведение итогов. Представление Портфолио.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Экскурсии (1ч) 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Экскурсия в медучилище.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Использование ИКТ: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о вреде курения, алкоголя, неправильного питания, Интернет ресурсы о высших медицинских учреждениях округа и области.</w:t>
      </w:r>
    </w:p>
    <w:p w:rsidR="003A3BB3" w:rsidRPr="003A3BB3" w:rsidRDefault="003A3BB3" w:rsidP="003A3B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3BB3" w:rsidRPr="003A3BB3" w:rsidRDefault="003A3BB3" w:rsidP="003A3B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3BB3" w:rsidRPr="003A3BB3" w:rsidSect="007D58CD">
          <w:pgSz w:w="11906" w:h="16838"/>
          <w:pgMar w:top="851" w:right="1133" w:bottom="709" w:left="1418" w:header="709" w:footer="170" w:gutter="0"/>
          <w:cols w:space="708"/>
          <w:docGrid w:linePitch="360"/>
        </w:sectPr>
      </w:pPr>
    </w:p>
    <w:p w:rsidR="003A3BB3" w:rsidRDefault="003A3BB3" w:rsidP="003A3BB3">
      <w:pPr>
        <w:keepNext/>
        <w:tabs>
          <w:tab w:val="left" w:pos="2292"/>
          <w:tab w:val="center" w:pos="467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3" w:name="_Toc416800959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ab/>
      </w:r>
      <w:r w:rsidR="00D94CC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КАЛЕНДАРНО</w:t>
      </w:r>
      <w:r w:rsidRPr="003A3BB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-ТЕМАТИЧЕСКИЙ ПЛАН</w:t>
      </w:r>
      <w:bookmarkEnd w:id="3"/>
    </w:p>
    <w:p w:rsidR="004E1E84" w:rsidRPr="003A3BB3" w:rsidRDefault="004E1E84" w:rsidP="003A3BB3">
      <w:pPr>
        <w:keepNext/>
        <w:tabs>
          <w:tab w:val="left" w:pos="2292"/>
          <w:tab w:val="center" w:pos="467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W w:w="4913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29"/>
        <w:gridCol w:w="939"/>
        <w:gridCol w:w="1129"/>
        <w:gridCol w:w="1129"/>
        <w:gridCol w:w="3089"/>
      </w:tblGrid>
      <w:tr w:rsidR="005E7197" w:rsidRPr="003A3BB3" w:rsidTr="005E7197">
        <w:trPr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61" w:type="pct"/>
            <w:vMerge w:val="restar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7197" w:rsidRPr="003A3BB3" w:rsidRDefault="005E7197" w:rsidP="003A3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45" w:type="pct"/>
            <w:gridSpan w:val="4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vMerge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pct"/>
            <w:vMerge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Практи-ческих</w:t>
            </w:r>
            <w:proofErr w:type="spellEnd"/>
            <w:proofErr w:type="gramEnd"/>
          </w:p>
        </w:tc>
        <w:tc>
          <w:tcPr>
            <w:tcW w:w="583" w:type="pct"/>
            <w:shd w:val="clear" w:color="auto" w:fill="auto"/>
          </w:tcPr>
          <w:p w:rsidR="005E7197" w:rsidRDefault="005E71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5E7197" w:rsidRPr="003A3BB3" w:rsidRDefault="005E7197" w:rsidP="00D94C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Размышление о профессии врача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272CD8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 – ровесница человечества. История медицины.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сообщения,</w:t>
            </w: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экскурсии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 – наследники Гиппократа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сообщений.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– главный помощник врача. История профессии.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636E4D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272CD8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сообщений, отчет об экскурсии.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десмургии. Виды повязок, наложение повязок.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D94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5E7197" w:rsidRPr="003A3BB3" w:rsidTr="008069E5">
        <w:trPr>
          <w:trHeight w:val="1534"/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«Скорой помощи» - организация и персонал. Плюсы и минусы работы в «Скорой помощи».</w:t>
            </w: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первой помощи.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Кровотечения, способы остановки кровотечений.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D94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практической работы.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травм костей. Способы временной иммобилизации.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272CD8" w:rsidRDefault="00636E4D" w:rsidP="00D94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  <w:p w:rsidR="00636E4D" w:rsidRPr="003A3BB3" w:rsidRDefault="00636E4D" w:rsidP="00D94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ситуативных задач.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Педиатрия. Педиатр – детский врач. </w:t>
            </w: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Антропометрические исследования.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272CD8" w:rsidRDefault="00636E4D" w:rsidP="00D94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636E4D" w:rsidRPr="003A3BB3" w:rsidRDefault="00636E4D" w:rsidP="00D94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работ.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диагностики в медицине.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636E4D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оценка сообщений.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Нетрадиционная медицина.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сообщений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8069E5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 w:rsidR="005E7197"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тотерапия. Лечение травами. Гомеопатия.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сообщений.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 Факторы, укрепляющие здоровье.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работы </w:t>
            </w:r>
            <w:proofErr w:type="spellStart"/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7197" w:rsidRPr="003A3BB3" w:rsidTr="005E7197">
        <w:trPr>
          <w:jc w:val="center"/>
        </w:trPr>
        <w:tc>
          <w:tcPr>
            <w:tcW w:w="29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1" w:type="pct"/>
            <w:shd w:val="clear" w:color="auto" w:fill="auto"/>
          </w:tcPr>
          <w:p w:rsidR="005E7197" w:rsidRPr="003A3BB3" w:rsidRDefault="00272CD8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проектной работы</w:t>
            </w:r>
          </w:p>
        </w:tc>
        <w:tc>
          <w:tcPr>
            <w:tcW w:w="48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5E7197" w:rsidRPr="003A3BB3" w:rsidRDefault="00636E4D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595" w:type="pct"/>
            <w:shd w:val="clear" w:color="auto" w:fill="auto"/>
          </w:tcPr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проектов,</w:t>
            </w:r>
          </w:p>
          <w:p w:rsidR="005E7197" w:rsidRPr="003A3BB3" w:rsidRDefault="005E7197" w:rsidP="003A3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экскурсии.</w:t>
            </w:r>
          </w:p>
        </w:tc>
      </w:tr>
    </w:tbl>
    <w:p w:rsidR="005E7197" w:rsidRDefault="005E7197" w:rsidP="005E7197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page" w:horzAnchor="margin" w:tblpXSpec="center" w:tblpY="1846"/>
        <w:tblW w:w="4946" w:type="pct"/>
        <w:tblLook w:val="0000" w:firstRow="0" w:lastRow="0" w:firstColumn="0" w:lastColumn="0" w:noHBand="0" w:noVBand="0"/>
      </w:tblPr>
      <w:tblGrid>
        <w:gridCol w:w="3152"/>
        <w:gridCol w:w="3792"/>
        <w:gridCol w:w="2804"/>
      </w:tblGrid>
      <w:tr w:rsidR="005E7197" w:rsidRPr="00D94CC8" w:rsidTr="005E7197"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lastRenderedPageBreak/>
              <w:t>Оценка работы по подготовке проекта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Оценка результата проекта</w:t>
            </w: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Оценка презентации проекта</w:t>
            </w:r>
          </w:p>
        </w:tc>
      </w:tr>
      <w:tr w:rsidR="005E7197" w:rsidRPr="00D94CC8" w:rsidTr="005E7197"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обоснованность выбора темы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практическая направленность проекта (наличие результата)</w:t>
            </w: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соответствие представленного материала проблеме проекта</w:t>
            </w:r>
          </w:p>
        </w:tc>
      </w:tr>
      <w:tr w:rsidR="005E7197" w:rsidRPr="00D94CC8" w:rsidTr="005E7197">
        <w:trPr>
          <w:trHeight w:val="1715"/>
        </w:trPr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полнота раскрытия темы, самостоятельность, завершенность деятельности по проекту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 xml:space="preserve">качество отчета: </w:t>
            </w:r>
          </w:p>
          <w:p w:rsidR="005E7197" w:rsidRPr="00D94CC8" w:rsidRDefault="005E7197" w:rsidP="004317C8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 xml:space="preserve">эстетичность оформления, </w:t>
            </w:r>
          </w:p>
          <w:p w:rsidR="005E7197" w:rsidRPr="00D94CC8" w:rsidRDefault="005E7197" w:rsidP="004317C8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 xml:space="preserve">структурированность информации, </w:t>
            </w:r>
          </w:p>
          <w:p w:rsidR="005E7197" w:rsidRPr="00D94CC8" w:rsidRDefault="005E7197" w:rsidP="004317C8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 xml:space="preserve">соответствие стандартным требованиям </w:t>
            </w: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качество подачи материала (полнота раскрытия темы, самостоятельность, аргументированность)</w:t>
            </w:r>
          </w:p>
        </w:tc>
      </w:tr>
      <w:tr w:rsidR="005E7197" w:rsidRPr="00D94CC8" w:rsidTr="005E7197"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структурированность информации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анализ проделанной работы, наличие независимой рецензии</w:t>
            </w: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степень осмысленности владения информационными технологиями (соответствие выбранных технологий поставленным задачам по проекту, дизайну, форме подачи материала)</w:t>
            </w:r>
          </w:p>
        </w:tc>
      </w:tr>
      <w:tr w:rsidR="005E7197" w:rsidRPr="00D94CC8" w:rsidTr="005E7197"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новизна в раскрытии темы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уровень владения проблемой, темой (ответы на вопросы)</w:t>
            </w:r>
          </w:p>
        </w:tc>
      </w:tr>
      <w:tr w:rsidR="005E7197" w:rsidRPr="00D94CC8" w:rsidTr="005E7197"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степень актуальности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степень доступности восприятия материала аудиторией</w:t>
            </w:r>
          </w:p>
        </w:tc>
      </w:tr>
      <w:tr w:rsidR="005E7197" w:rsidRPr="00D94CC8" w:rsidTr="005E7197"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ссылки на источники информации (цитируемость используемой литературы), Интернет-ресурсы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ссылки на источники информации, Интернет-ресурсы, Интернет-ресурсы</w:t>
            </w:r>
          </w:p>
        </w:tc>
      </w:tr>
      <w:tr w:rsidR="005E7197" w:rsidRPr="00D94CC8" w:rsidTr="005E7197">
        <w:tc>
          <w:tcPr>
            <w:tcW w:w="1617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экскурсия, встреча, выставка (фото-, видеоотчеты, письменный анализ полученной информации)</w:t>
            </w:r>
          </w:p>
        </w:tc>
        <w:tc>
          <w:tcPr>
            <w:tcW w:w="1945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38" w:type="pct"/>
          </w:tcPr>
          <w:p w:rsidR="005E7197" w:rsidRPr="00D94CC8" w:rsidRDefault="005E7197" w:rsidP="004317C8">
            <w:pPr>
              <w:rPr>
                <w:rFonts w:eastAsia="Times New Roman"/>
                <w:sz w:val="24"/>
                <w:szCs w:val="24"/>
              </w:rPr>
            </w:pPr>
            <w:r w:rsidRPr="00D94CC8">
              <w:rPr>
                <w:rFonts w:eastAsia="Times New Roman"/>
                <w:sz w:val="24"/>
                <w:szCs w:val="24"/>
              </w:rPr>
              <w:t>соблюдение регламента</w:t>
            </w:r>
          </w:p>
        </w:tc>
      </w:tr>
    </w:tbl>
    <w:p w:rsidR="00B90EB0" w:rsidRDefault="005E7197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Критерии оценки программы</w:t>
      </w: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272CD8" w:rsidRDefault="00272CD8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E7197" w:rsidRDefault="005E7197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4E1E84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СПИСОК ЛИТЕРАТУРЫ</w:t>
      </w:r>
    </w:p>
    <w:p w:rsidR="004E1E84" w:rsidRPr="003A3BB3" w:rsidRDefault="004E1E84" w:rsidP="004E1E84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Абаскалова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П. “Здоровью надо учить”, Новосибирск, “Лада”, 2000.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Баенбаева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 Основы медицинских знаний. Волгоград, издательство «Учитель»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 И. Д. Человек. Организм и здоровье. М., 2000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приложение “Анатомия человека”, М., 2006..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Рохлов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 Школьный практикум. Биология. Человек. 9класс. М.,2000.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Сапин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Брыксина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 Анатомия и физиология детей и подростков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.2002.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практического врача. М., “Баян”, 1993.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Степкна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Анатомия человека. Волгоград, издательство «Учитель» 2006. Сборник программ элективных курсов (рекомендовано Волгоградским государственным институтом повышения квалификации работников образования) 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Суравегина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Т. Здоровье и окружающая среда. М.,1992.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Спиридонова Н. А. Бережем здоровье. </w:t>
      </w:r>
      <w:proofErr w:type="gram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«Паритет»2006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М. З., </w:t>
      </w:r>
      <w:proofErr w:type="spellStart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Кумченко</w:t>
      </w:r>
      <w:proofErr w:type="spellEnd"/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Экология человека. М., 2004.</w:t>
      </w:r>
    </w:p>
    <w:p w:rsidR="00B90EB0" w:rsidRPr="003A3BB3" w:rsidRDefault="00B90EB0" w:rsidP="005E719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Широкова М. карьера в медицине. Энциклопедия профессий. М., 2003.</w:t>
      </w:r>
    </w:p>
    <w:p w:rsidR="00B90EB0" w:rsidRDefault="00B90EB0" w:rsidP="005E7197">
      <w:pPr>
        <w:jc w:val="both"/>
      </w:pPr>
    </w:p>
    <w:p w:rsidR="00B90EB0" w:rsidRDefault="00B90EB0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5E7197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90EB0" w:rsidRDefault="00B90EB0" w:rsidP="003A3BB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sectPr w:rsidR="00B90EB0" w:rsidSect="005E719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54"/>
    <w:multiLevelType w:val="hybridMultilevel"/>
    <w:tmpl w:val="1248B1C8"/>
    <w:lvl w:ilvl="0" w:tplc="07189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922F7"/>
    <w:multiLevelType w:val="hybridMultilevel"/>
    <w:tmpl w:val="14DA47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15CEB"/>
    <w:multiLevelType w:val="hybridMultilevel"/>
    <w:tmpl w:val="952E86B8"/>
    <w:lvl w:ilvl="0" w:tplc="07189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BB7433"/>
    <w:multiLevelType w:val="hybridMultilevel"/>
    <w:tmpl w:val="3BB03E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D03E0B"/>
    <w:multiLevelType w:val="hybridMultilevel"/>
    <w:tmpl w:val="C0B8E6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47695D"/>
    <w:multiLevelType w:val="hybridMultilevel"/>
    <w:tmpl w:val="9F2A880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E02377"/>
    <w:multiLevelType w:val="multilevel"/>
    <w:tmpl w:val="66F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0E6"/>
    <w:rsid w:val="000A40D1"/>
    <w:rsid w:val="001B038A"/>
    <w:rsid w:val="00272CD8"/>
    <w:rsid w:val="003A3BB3"/>
    <w:rsid w:val="004E1E84"/>
    <w:rsid w:val="004F2614"/>
    <w:rsid w:val="005E7197"/>
    <w:rsid w:val="00636E4D"/>
    <w:rsid w:val="007D58CD"/>
    <w:rsid w:val="008069E5"/>
    <w:rsid w:val="00872FF7"/>
    <w:rsid w:val="008F37CF"/>
    <w:rsid w:val="00A860E6"/>
    <w:rsid w:val="00AE2F5B"/>
    <w:rsid w:val="00AF37B4"/>
    <w:rsid w:val="00B90EB0"/>
    <w:rsid w:val="00C433EF"/>
    <w:rsid w:val="00D94CC8"/>
    <w:rsid w:val="00D95D79"/>
    <w:rsid w:val="00E64E44"/>
    <w:rsid w:val="00E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EF"/>
  </w:style>
  <w:style w:type="paragraph" w:styleId="1">
    <w:name w:val="heading 1"/>
    <w:basedOn w:val="a"/>
    <w:next w:val="a"/>
    <w:link w:val="10"/>
    <w:uiPriority w:val="9"/>
    <w:qFormat/>
    <w:rsid w:val="005E7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BB3"/>
    <w:pPr>
      <w:spacing w:after="0" w:line="240" w:lineRule="auto"/>
    </w:pPr>
  </w:style>
  <w:style w:type="table" w:styleId="a4">
    <w:name w:val="Table Grid"/>
    <w:basedOn w:val="a1"/>
    <w:uiPriority w:val="59"/>
    <w:rsid w:val="004F26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7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3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BB3"/>
    <w:pPr>
      <w:spacing w:after="0" w:line="240" w:lineRule="auto"/>
    </w:pPr>
  </w:style>
  <w:style w:type="table" w:styleId="a4">
    <w:name w:val="Table Grid"/>
    <w:basedOn w:val="a1"/>
    <w:uiPriority w:val="59"/>
    <w:rsid w:val="004F26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Купер</dc:creator>
  <cp:keywords/>
  <dc:description/>
  <cp:lastModifiedBy>Евгений Купер</cp:lastModifiedBy>
  <cp:revision>11</cp:revision>
  <cp:lastPrinted>2020-09-15T03:47:00Z</cp:lastPrinted>
  <dcterms:created xsi:type="dcterms:W3CDTF">2019-09-27T17:29:00Z</dcterms:created>
  <dcterms:modified xsi:type="dcterms:W3CDTF">2020-09-15T03:48:00Z</dcterms:modified>
</cp:coreProperties>
</file>